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pPr>
    </w:p>
    <w:p>
      <w:pPr>
        <w:jc w:val="center"/>
      </w:pPr>
      <w:r>
        <w:rPr>
          <w:b/>
          <w:bCs/>
          <w:color w:val="1f2937"/>
          <w:sz w:val="64"/>
          <w:szCs w:val="64"/>
        </w:rPr>
        <w:t xml:space="preserve">GESTHUB</w:t>
      </w:r>
    </w:p>
    <w:p>
      <w:pPr>
        <w:spacing w:before="200"/>
        <w:jc w:val="center"/>
      </w:pPr>
      <w:r>
        <w:rPr>
          <w:b/>
          <w:bCs/>
          <w:color w:val="2563eb"/>
          <w:sz w:val="36"/>
          <w:szCs w:val="36"/>
        </w:rPr>
        <w:t xml:space="preserve">Dossier technique v2</w:t>
      </w:r>
    </w:p>
    <w:p>
      <w:pPr>
        <w:spacing w:before="100"/>
        <w:jc w:val="center"/>
      </w:pPr>
      <w:r>
        <w:rPr>
          <w:color w:val="6B7280"/>
          <w:sz w:val="24"/>
          <w:szCs w:val="24"/>
        </w:rPr>
        <w:t xml:space="preserve">Annexe de preuves du dossier de validation RNCP 36463</w:t>
      </w:r>
    </w:p>
    <w:p>
      <w:pPr>
        <w:spacing w:before="60"/>
        <w:jc w:val="center"/>
      </w:pPr>
      <w:r>
        <w:rPr>
          <w:i/>
          <w:iCs/>
          <w:color w:val="6B7280"/>
          <w:sz w:val="22"/>
          <w:szCs w:val="22"/>
        </w:rPr>
        <w:t xml:space="preserve">Concepteur Développeur d'Applications Numériques (CDAN)</w:t>
      </w:r>
    </w:p>
    <w:p>
      <w:pPr>
        <w:spacing w:before="800"/>
      </w:pPr>
    </w:p>
    <w:p>
      <w:pPr>
        <w:jc w:val="center"/>
      </w:pPr>
      <w:r>
        <w:rPr>
          <w:b/>
          <w:bCs/>
          <w:sz w:val="26"/>
          <w:szCs w:val="26"/>
        </w:rPr>
        <w:t xml:space="preserve">LABAT Nino</w:t>
      </w:r>
    </w:p>
    <w:p>
      <w:pPr>
        <w:spacing w:before="40"/>
        <w:jc w:val="center"/>
      </w:pPr>
      <w:r>
        <w:rPr>
          <w:sz w:val="20"/>
          <w:szCs w:val="20"/>
        </w:rPr>
        <w:t xml:space="preserve">Bordeaux Ynov Campus — B3 Robotique &amp; Systèmes Embarqués</w:t>
      </w:r>
    </w:p>
    <w:p>
      <w:pPr>
        <w:spacing w:before="40"/>
        <w:jc w:val="center"/>
      </w:pPr>
      <w:r>
        <w:rPr>
          <w:sz w:val="20"/>
          <w:szCs w:val="20"/>
        </w:rPr>
        <w:t xml:space="preserve">Août 2026</w:t>
      </w:r>
    </w:p>
    <w:p>
      <w:pPr>
        <w:spacing w:before="1000"/>
      </w:pPr>
    </w:p>
    <w:p>
      <w:pPr>
        <w:jc w:val="center"/>
      </w:pPr>
      <w:r>
        <w:rPr>
          <w:color w:val="6B7280"/>
          <w:sz w:val="18"/>
          <w:szCs w:val="18"/>
        </w:rPr>
        <w:t xml:space="preserve">Dépôt : https://git.ninolbt.com/Nono/gesthub</w:t>
      </w:r>
    </w:p>
    <w:p>
      <w:r>
        <w:br w:type="page"/>
      </w:r>
    </w:p>
    <w:p>
      <w:pPr>
        <w:pStyle w:val="Heading1"/>
        <w:spacing w:after="160"/>
      </w:pPr>
      <w:r>
        <w:t xml:space="preserve">Avant-propos</w:t>
      </w:r>
    </w:p>
    <w:p>
      <w:pPr>
        <w:spacing w:after="160"/>
      </w:pPr>
      <w:r>
        <w:rPr>
          <w:sz w:val="21"/>
          <w:szCs w:val="21"/>
        </w:rPr>
        <w:t xml:space="preserve">Ce document est le « Dossier technique GestHub v2 » référencé tout au long de la Partie 2 (Portefeuille de preuves) du dossier de validation RNCP. Il constitue l'annexe de preuves : cahier des charges, architecture, modèle de données, plan de tests, rétro-documentation, journal de bord et éléments de qualité de code, avec, chaque fois que possible, des résultats réels et vérifiables (sorties de tests, de flake8, de radon, captures d'écran) plutôt que des affirmations non étayées.</w:t>
      </w:r>
    </w:p>
    <w:p>
      <w:pPr>
        <w:spacing w:after="160"/>
      </w:pPr>
      <w:r>
        <w:rPr>
          <w:sz w:val="21"/>
          <w:szCs w:val="21"/>
        </w:rPr>
        <w:t xml:space="preserve">Deux niveaux de preuve sont distingués dans ce document, à l'identique du dossier RNCP narratif : les éléments marqués « pratiqué » correspondent à du code exécuté et vérifié au moment de la rédaction (août 2026) ; les éléments marqués « [⇒] Projection méthodologique » correspondent à une démarche comprise et documentée mais non mise en œuvre faute de contexte (pas de client réel, pas d'environnement de production avec nom de domaine, pas d'équipe).</w:t>
      </w:r>
    </w:p>
    <w:p>
      <w:r>
        <w:br w:type="page"/>
      </w:r>
    </w:p>
    <w:p>
      <w:pPr>
        <w:pStyle w:val="Heading1"/>
        <w:spacing w:after="160"/>
      </w:pPr>
      <w:r>
        <w:t xml:space="preserve">Sommaire</w:t>
      </w:r>
    </w:p>
    <w:p>
      <w:pPr>
        <w:spacing w:after="200"/>
      </w:pPr>
      <w:r>
        <w:rPr>
          <w:i/>
          <w:iCs/>
          <w:color w:val="6B7280"/>
          <w:sz w:val="18"/>
          <w:szCs w:val="18"/>
        </w:rPr>
        <w:t xml:space="preserve">(Sommaire interactif — dans Word : clic droit sur la table ci-dessous puis « Mettre à jour les champs », ou Ctrl+A puis F9.)</w:t>
      </w:r>
    </w:p>
    <w:sdt>
      <w:sdtPr>
        <w:alias w:val="Sommaire"/>
      </w:sdtPr>
      <w:sdtContent>
        <w:p>
          <w:r>
            <w:fldChar w:fldCharType="begin" w:dirty="true"/>
            <w:instrText xml:space="preserve">TOC \h \o "1-3"</w:instrText>
            <w:fldChar w:fldCharType="separate"/>
          </w:r>
        </w:p>
        <w:p>
          <w:r>
            <w:fldChar w:fldCharType="end"/>
          </w:r>
        </w:p>
      </w:sdtContent>
    </w:sdt>
    <w:p>
      <w:r>
        <w:br w:type="page"/>
      </w:r>
    </w:p>
    <w:p>
      <w:pPr>
        <w:pStyle w:val="Heading1"/>
        <w:pageBreakBefore/>
        <w:spacing w:after="160" w:before="360"/>
      </w:pPr>
      <w:r>
        <w:t xml:space="preserve">Sections 1 à 20 — Cahier des charges GestHub</w:t>
      </w:r>
    </w:p>
    <w:p>
      <w:pPr>
        <w:pStyle w:val="Heading2"/>
        <w:spacing w:after="140" w:before="300"/>
      </w:pPr>
      <w:r>
        <w:t xml:space="preserve">Section 1 — Présentation du projet</w:t>
      </w:r>
    </w:p>
    <w:p>
      <w:pPr>
        <w:spacing w:after="120"/>
      </w:pPr>
      <w:r>
        <w:rPr>
          <w:sz w:val="21"/>
          <w:szCs w:val="21"/>
        </w:rPr>
        <w:t xml:space="preserve">GestHub est une application web intranet/extranet multi-services destinée à centraliser les outils utilisés au quotidien pendant la formation à Ynov Bordeaux Campus (spécialité Robotique &amp; Systèmes Embarqués) : annonces, partage de fichiers, planning, chat et Kanban, le tout derrière une authentification unique (SSO). Projet personnel auto-initié, démarré pendant les ydays de B2 (avril 2025) et poursuivi jusqu'à ce jour.</w:t>
      </w:r>
    </w:p>
    <w:p>
      <w:pPr>
        <w:pStyle w:val="Heading2"/>
        <w:spacing w:after="140" w:before="300"/>
      </w:pPr>
      <w:r>
        <w:t xml:space="preserve">Section 2 — Contexte et origine</w:t>
      </w:r>
    </w:p>
    <w:p>
      <w:pPr>
        <w:spacing w:after="120"/>
      </w:pPr>
      <w:r>
        <w:rPr>
          <w:sz w:val="21"/>
          <w:szCs w:val="21"/>
        </w:rPr>
        <w:t xml:space="preserve">Avant GestHub, la coordination reposait sur des outils disparates : WhatsApp pour les annonces (aucune permanence de l'information), clés USB ou liens temporaires pour les fichiers (aucun contrôle d'accès), agendas séparés pour le planning (aucune vision collective). Ce constat personnel a motivé la création d'un outil unique et centralisé.</w:t>
      </w:r>
    </w:p>
    <w:p>
      <w:pPr>
        <w:pStyle w:val="Heading2"/>
        <w:spacing w:after="140" w:before="300"/>
      </w:pPr>
      <w:r>
        <w:t xml:space="preserve">Section 3 — Objectifs du projet</w:t>
      </w:r>
    </w:p>
    <w:p>
      <w:pPr>
        <w:pStyle w:val="ListParagraph"/>
        <w:numPr>
          <w:ilvl w:val="0"/>
          <w:numId w:val="1"/>
        </w:numPr>
        <w:spacing w:after="60"/>
      </w:pPr>
      <w:r>
        <w:rPr>
          <w:sz w:val="21"/>
          <w:szCs w:val="21"/>
        </w:rPr>
        <w:t xml:space="preserve">Centraliser les annonces, fichiers, planning et communication dans un seul</w:t>
      </w:r>
    </w:p>
    <w:p>
      <w:pPr>
        <w:spacing w:after="120"/>
      </w:pPr>
      <w:r>
        <w:rPr>
          <w:sz w:val="21"/>
          <w:szCs w:val="21"/>
        </w:rPr>
        <w:t xml:space="preserve">point d'entrée authentifié.</w:t>
      </w:r>
    </w:p>
    <w:p>
      <w:pPr>
        <w:pStyle w:val="ListParagraph"/>
        <w:numPr>
          <w:ilvl w:val="0"/>
          <w:numId w:val="1"/>
        </w:numPr>
        <w:spacing w:after="60"/>
      </w:pPr>
      <w:r>
        <w:rPr>
          <w:sz w:val="21"/>
          <w:szCs w:val="21"/>
        </w:rPr>
        <w:t xml:space="preserve">Garantir la persistance et la traçabilité de l'information (contrairement</w:t>
      </w:r>
    </w:p>
    <w:p>
      <w:pPr>
        <w:spacing w:after="120"/>
      </w:pPr>
      <w:r>
        <w:rPr>
          <w:sz w:val="21"/>
          <w:szCs w:val="21"/>
        </w:rPr>
        <w:t xml:space="preserve">aux outils volatils utilisés auparavant).</w:t>
      </w:r>
    </w:p>
    <w:p>
      <w:pPr>
        <w:pStyle w:val="ListParagraph"/>
        <w:numPr>
          <w:ilvl w:val="0"/>
          <w:numId w:val="1"/>
        </w:numPr>
        <w:spacing w:after="60"/>
      </w:pPr>
      <w:r>
        <w:rPr>
          <w:sz w:val="21"/>
          <w:szCs w:val="21"/>
        </w:rPr>
        <w:t xml:space="preserve">Construire une infrastructure reproductible (Infrastructure as Code) et</w:t>
      </w:r>
    </w:p>
    <w:p>
      <w:pPr>
        <w:spacing w:after="120"/>
      </w:pPr>
      <w:r>
        <w:rPr>
          <w:sz w:val="21"/>
          <w:szCs w:val="21"/>
        </w:rPr>
        <w:t xml:space="preserve">déployable en moins de 5 minutes sur une machine Linux vierge.</w:t>
      </w:r>
    </w:p>
    <w:p>
      <w:pPr>
        <w:pStyle w:val="ListParagraph"/>
        <w:numPr>
          <w:ilvl w:val="0"/>
          <w:numId w:val="1"/>
        </w:numPr>
        <w:spacing w:after="60"/>
      </w:pPr>
      <w:r>
        <w:rPr>
          <w:sz w:val="21"/>
          <w:szCs w:val="21"/>
        </w:rPr>
        <w:t xml:space="preserve">Servir de support d'apprentissage et de preuve de compétence pour le titre</w:t>
      </w:r>
    </w:p>
    <w:p>
      <w:pPr>
        <w:spacing w:after="120"/>
      </w:pPr>
      <w:r>
        <w:rPr>
          <w:sz w:val="21"/>
          <w:szCs w:val="21"/>
        </w:rPr>
        <w:t xml:space="preserve">RNCP 36463 (CDAN).</w:t>
      </w:r>
    </w:p>
    <w:p>
      <w:pPr>
        <w:pStyle w:val="Heading2"/>
        <w:spacing w:after="140" w:before="300"/>
      </w:pPr>
      <w:r>
        <w:t xml:space="preserve">Section 4 — Analyse de l'existant</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3116"/>
        <w:gridCol w:w="3116"/>
        <w:gridCol w:w="3116"/>
      </w:tblGrid>
      <w:tr>
        <w:trPr>
          <w:tblHeader/>
        </w:trPr>
        <w:tc>
          <w:tcPr>
            <w:tcW w:type="dxa" w:w="3116"/>
            <w:shd w:fill="1f2937" w:color="auto" w:val="clear"/>
            <w:tcMar>
              <w:top w:type="dxa" w:w="60"/>
              <w:left w:type="dxa" w:w="100"/>
              <w:bottom w:type="dxa" w:w="60"/>
              <w:right w:type="dxa" w:w="100"/>
            </w:tcMar>
          </w:tcPr>
          <w:p>
            <w:r>
              <w:rPr>
                <w:b/>
                <w:bCs/>
                <w:color w:val="FFFFFF"/>
                <w:sz w:val="19"/>
                <w:szCs w:val="19"/>
              </w:rPr>
              <w:t xml:space="preserve">Besoin</w:t>
            </w:r>
          </w:p>
        </w:tc>
        <w:tc>
          <w:tcPr>
            <w:tcW w:type="dxa" w:w="3116"/>
            <w:shd w:fill="1f2937" w:color="auto" w:val="clear"/>
            <w:tcMar>
              <w:top w:type="dxa" w:w="60"/>
              <w:left w:type="dxa" w:w="100"/>
              <w:bottom w:type="dxa" w:w="60"/>
              <w:right w:type="dxa" w:w="100"/>
            </w:tcMar>
          </w:tcPr>
          <w:p>
            <w:r>
              <w:rPr>
                <w:b/>
                <w:bCs/>
                <w:color w:val="FFFFFF"/>
                <w:sz w:val="19"/>
                <w:szCs w:val="19"/>
              </w:rPr>
              <w:t xml:space="preserve">Outil utilisé avant GestHub</w:t>
            </w:r>
          </w:p>
        </w:tc>
        <w:tc>
          <w:tcPr>
            <w:tcW w:type="dxa" w:w="3116"/>
            <w:shd w:fill="1f2937" w:color="auto" w:val="clear"/>
            <w:tcMar>
              <w:top w:type="dxa" w:w="60"/>
              <w:left w:type="dxa" w:w="100"/>
              <w:bottom w:type="dxa" w:w="60"/>
              <w:right w:type="dxa" w:w="100"/>
            </w:tcMar>
          </w:tcPr>
          <w:p>
            <w:r>
              <w:rPr>
                <w:b/>
                <w:bCs/>
                <w:color w:val="FFFFFF"/>
                <w:sz w:val="19"/>
                <w:szCs w:val="19"/>
              </w:rPr>
              <w:t xml:space="preserve">Limite constatée</w:t>
            </w:r>
          </w:p>
        </w:tc>
      </w:tr>
      <w:tr>
        <w:trPr>
          <w:tblHeader w:val="false"/>
        </w:trPr>
        <w:tc>
          <w:tcPr>
            <w:tcW w:type="dxa" w:w="3116"/>
            <w:tcMar>
              <w:top w:type="dxa" w:w="60"/>
              <w:left w:type="dxa" w:w="100"/>
              <w:bottom w:type="dxa" w:w="60"/>
              <w:right w:type="dxa" w:w="100"/>
            </w:tcMar>
          </w:tcPr>
          <w:p>
            <w:r>
              <w:rPr>
                <w:sz w:val="21"/>
                <w:szCs w:val="21"/>
              </w:rPr>
              <w:t xml:space="preserve">Annonces</w:t>
            </w:r>
          </w:p>
        </w:tc>
        <w:tc>
          <w:tcPr>
            <w:tcW w:type="dxa" w:w="3116"/>
            <w:tcMar>
              <w:top w:type="dxa" w:w="60"/>
              <w:left w:type="dxa" w:w="100"/>
              <w:bottom w:type="dxa" w:w="60"/>
              <w:right w:type="dxa" w:w="100"/>
            </w:tcMar>
          </w:tcPr>
          <w:p>
            <w:r>
              <w:rPr>
                <w:sz w:val="21"/>
                <w:szCs w:val="21"/>
              </w:rPr>
              <w:t xml:space="preserve">WhatsApp</w:t>
            </w:r>
          </w:p>
        </w:tc>
        <w:tc>
          <w:tcPr>
            <w:tcW w:type="dxa" w:w="3116"/>
            <w:tcMar>
              <w:top w:type="dxa" w:w="60"/>
              <w:left w:type="dxa" w:w="100"/>
              <w:bottom w:type="dxa" w:w="60"/>
              <w:right w:type="dxa" w:w="100"/>
            </w:tcMar>
          </w:tcPr>
          <w:p>
            <w:r>
              <w:rPr>
                <w:sz w:val="21"/>
                <w:szCs w:val="21"/>
              </w:rPr>
              <w:t xml:space="preserve">Pas d'historique structuré, pas de droits</w:t>
            </w:r>
          </w:p>
        </w:tc>
      </w:tr>
      <w:tr>
        <w:trPr>
          <w:tblHeader w:val="false"/>
        </w:trPr>
        <w:tc>
          <w:tcPr>
            <w:tcW w:type="dxa" w:w="3116"/>
            <w:tcMar>
              <w:top w:type="dxa" w:w="60"/>
              <w:left w:type="dxa" w:w="100"/>
              <w:bottom w:type="dxa" w:w="60"/>
              <w:right w:type="dxa" w:w="100"/>
            </w:tcMar>
          </w:tcPr>
          <w:p>
            <w:r>
              <w:rPr>
                <w:sz w:val="21"/>
                <w:szCs w:val="21"/>
              </w:rPr>
              <w:t xml:space="preserve">Fichiers</w:t>
            </w:r>
          </w:p>
        </w:tc>
        <w:tc>
          <w:tcPr>
            <w:tcW w:type="dxa" w:w="3116"/>
            <w:tcMar>
              <w:top w:type="dxa" w:w="60"/>
              <w:left w:type="dxa" w:w="100"/>
              <w:bottom w:type="dxa" w:w="60"/>
              <w:right w:type="dxa" w:w="100"/>
            </w:tcMar>
          </w:tcPr>
          <w:p>
            <w:r>
              <w:rPr>
                <w:sz w:val="21"/>
                <w:szCs w:val="21"/>
              </w:rPr>
              <w:t xml:space="preserve">Clés USB / liens temporaires</w:t>
            </w:r>
          </w:p>
        </w:tc>
        <w:tc>
          <w:tcPr>
            <w:tcW w:type="dxa" w:w="3116"/>
            <w:tcMar>
              <w:top w:type="dxa" w:w="60"/>
              <w:left w:type="dxa" w:w="100"/>
              <w:bottom w:type="dxa" w:w="60"/>
              <w:right w:type="dxa" w:w="100"/>
            </w:tcMar>
          </w:tcPr>
          <w:p>
            <w:r>
              <w:rPr>
                <w:sz w:val="21"/>
                <w:szCs w:val="21"/>
              </w:rPr>
              <w:t xml:space="preserve">Aucun contrôle d'accès, pas de traçabilité</w:t>
            </w:r>
          </w:p>
        </w:tc>
      </w:tr>
      <w:tr>
        <w:trPr>
          <w:tblHeader w:val="false"/>
        </w:trPr>
        <w:tc>
          <w:tcPr>
            <w:tcW w:type="dxa" w:w="3116"/>
            <w:tcMar>
              <w:top w:type="dxa" w:w="60"/>
              <w:left w:type="dxa" w:w="100"/>
              <w:bottom w:type="dxa" w:w="60"/>
              <w:right w:type="dxa" w:w="100"/>
            </w:tcMar>
          </w:tcPr>
          <w:p>
            <w:r>
              <w:rPr>
                <w:sz w:val="21"/>
                <w:szCs w:val="21"/>
              </w:rPr>
              <w:t xml:space="preserve">Planning</w:t>
            </w:r>
          </w:p>
        </w:tc>
        <w:tc>
          <w:tcPr>
            <w:tcW w:type="dxa" w:w="3116"/>
            <w:tcMar>
              <w:top w:type="dxa" w:w="60"/>
              <w:left w:type="dxa" w:w="100"/>
              <w:bottom w:type="dxa" w:w="60"/>
              <w:right w:type="dxa" w:w="100"/>
            </w:tcMar>
          </w:tcPr>
          <w:p>
            <w:r>
              <w:rPr>
                <w:sz w:val="21"/>
                <w:szCs w:val="21"/>
              </w:rPr>
              <w:t xml:space="preserve">Agendas personnels</w:t>
            </w:r>
          </w:p>
        </w:tc>
        <w:tc>
          <w:tcPr>
            <w:tcW w:type="dxa" w:w="3116"/>
            <w:tcMar>
              <w:top w:type="dxa" w:w="60"/>
              <w:left w:type="dxa" w:w="100"/>
              <w:bottom w:type="dxa" w:w="60"/>
              <w:right w:type="dxa" w:w="100"/>
            </w:tcMar>
          </w:tcPr>
          <w:p>
            <w:r>
              <w:rPr>
                <w:sz w:val="21"/>
                <w:szCs w:val="21"/>
              </w:rPr>
              <w:t xml:space="preserve">Pas de vision collective</w:t>
            </w:r>
          </w:p>
        </w:tc>
      </w:tr>
      <w:tr>
        <w:trPr>
          <w:tblHeader w:val="false"/>
        </w:trPr>
        <w:tc>
          <w:tcPr>
            <w:tcW w:type="dxa" w:w="3116"/>
            <w:tcMar>
              <w:top w:type="dxa" w:w="60"/>
              <w:left w:type="dxa" w:w="100"/>
              <w:bottom w:type="dxa" w:w="60"/>
              <w:right w:type="dxa" w:w="100"/>
            </w:tcMar>
          </w:tcPr>
          <w:p>
            <w:r>
              <w:rPr>
                <w:sz w:val="21"/>
                <w:szCs w:val="21"/>
              </w:rPr>
              <w:t xml:space="preserve">Chat</w:t>
            </w:r>
          </w:p>
        </w:tc>
        <w:tc>
          <w:tcPr>
            <w:tcW w:type="dxa" w:w="3116"/>
            <w:tcMar>
              <w:top w:type="dxa" w:w="60"/>
              <w:left w:type="dxa" w:w="100"/>
              <w:bottom w:type="dxa" w:w="60"/>
              <w:right w:type="dxa" w:w="100"/>
            </w:tcMar>
          </w:tcPr>
          <w:p>
            <w:r>
              <w:rPr>
                <w:sz w:val="21"/>
                <w:szCs w:val="21"/>
              </w:rPr>
              <w:t xml:space="preserve">Discord / groupes épars</w:t>
            </w:r>
          </w:p>
        </w:tc>
        <w:tc>
          <w:tcPr>
            <w:tcW w:type="dxa" w:w="3116"/>
            <w:tcMar>
              <w:top w:type="dxa" w:w="60"/>
              <w:left w:type="dxa" w:w="100"/>
              <w:bottom w:type="dxa" w:w="60"/>
              <w:right w:type="dxa" w:w="100"/>
            </w:tcMar>
          </w:tcPr>
          <w:p>
            <w:r>
              <w:rPr>
                <w:sz w:val="21"/>
                <w:szCs w:val="21"/>
              </w:rPr>
              <w:t xml:space="preserve">Fragmentation, pas de SSO</w:t>
            </w:r>
          </w:p>
        </w:tc>
      </w:tr>
      <w:tr>
        <w:trPr>
          <w:tblHeader w:val="false"/>
        </w:trPr>
        <w:tc>
          <w:tcPr>
            <w:tcW w:type="dxa" w:w="3116"/>
            <w:tcMar>
              <w:top w:type="dxa" w:w="60"/>
              <w:left w:type="dxa" w:w="100"/>
              <w:bottom w:type="dxa" w:w="60"/>
              <w:right w:type="dxa" w:w="100"/>
            </w:tcMar>
          </w:tcPr>
          <w:p>
            <w:r>
              <w:rPr>
                <w:sz w:val="21"/>
                <w:szCs w:val="21"/>
              </w:rPr>
              <w:t xml:space="preserve">Authentification</w:t>
            </w:r>
          </w:p>
        </w:tc>
        <w:tc>
          <w:tcPr>
            <w:tcW w:type="dxa" w:w="3116"/>
            <w:tcMar>
              <w:top w:type="dxa" w:w="60"/>
              <w:left w:type="dxa" w:w="100"/>
              <w:bottom w:type="dxa" w:w="60"/>
              <w:right w:type="dxa" w:w="100"/>
            </w:tcMar>
          </w:tcPr>
          <w:p>
            <w:r>
              <w:rPr>
                <w:sz w:val="21"/>
                <w:szCs w:val="21"/>
              </w:rPr>
              <w:t xml:space="preserve">Comptes séparés par outil</w:t>
            </w:r>
          </w:p>
        </w:tc>
        <w:tc>
          <w:tcPr>
            <w:tcW w:type="dxa" w:w="3116"/>
            <w:tcMar>
              <w:top w:type="dxa" w:w="60"/>
              <w:left w:type="dxa" w:w="100"/>
              <w:bottom w:type="dxa" w:w="60"/>
              <w:right w:type="dxa" w:w="100"/>
            </w:tcMar>
          </w:tcPr>
          <w:p>
            <w:r>
              <w:rPr>
                <w:sz w:val="21"/>
                <w:szCs w:val="21"/>
              </w:rPr>
              <w:t xml:space="preserve">Pas d'identité unique</w:t>
            </w:r>
          </w:p>
        </w:tc>
      </w:tr>
    </w:tbl>
    <w:p>
      <w:pPr>
        <w:spacing w:after="160"/>
      </w:pPr>
    </w:p>
    <w:p>
      <w:pPr>
        <w:pStyle w:val="Heading2"/>
        <w:spacing w:after="140" w:before="300"/>
      </w:pPr>
      <w:r>
        <w:t xml:space="preserve">Section 5 — Parties prenantes et public visé</w:t>
      </w:r>
    </w:p>
    <w:p>
      <w:pPr>
        <w:pStyle w:val="ListParagraph"/>
        <w:numPr>
          <w:ilvl w:val="0"/>
          <w:numId w:val="1"/>
        </w:numPr>
        <w:spacing w:after="60"/>
      </w:pPr>
      <w:r>
        <w:rPr>
          <w:b/>
          <w:bCs/>
          <w:sz w:val="21"/>
          <w:szCs w:val="21"/>
        </w:rPr>
        <w:t xml:space="preserve">Utilisateur standard</w:t>
      </w:r>
      <w:r>
        <w:rPr>
          <w:sz w:val="21"/>
          <w:szCs w:val="21"/>
        </w:rPr>
        <w:t xml:space="preserve"> : consulte les annonces, le planning, télécharge</w:t>
      </w:r>
    </w:p>
    <w:p>
      <w:pPr>
        <w:spacing w:after="120"/>
      </w:pPr>
      <w:r>
        <w:rPr>
          <w:sz w:val="21"/>
          <w:szCs w:val="21"/>
        </w:rPr>
        <w:t xml:space="preserve">ses fichiers, participe au chat.</w:t>
      </w:r>
    </w:p>
    <w:p>
      <w:pPr>
        <w:pStyle w:val="ListParagraph"/>
        <w:numPr>
          <w:ilvl w:val="0"/>
          <w:numId w:val="1"/>
        </w:numPr>
        <w:spacing w:after="60"/>
      </w:pPr>
      <w:r>
        <w:rPr>
          <w:b/>
          <w:bCs/>
          <w:sz w:val="21"/>
          <w:szCs w:val="21"/>
        </w:rPr>
        <w:t xml:space="preserve">Administrateur</w:t>
      </w:r>
      <w:r>
        <w:rPr>
          <w:sz w:val="21"/>
          <w:szCs w:val="21"/>
        </w:rPr>
        <w:t xml:space="preserve"> (groupe Keycloak </w:t>
      </w:r>
      <w:r>
        <w:rPr>
          <w:rFonts w:ascii="Consolas" w:cs="Consolas" w:eastAsia="Consolas" w:hAnsi="Consolas"/>
          <w:color w:val="1f2937"/>
          <w:sz w:val="19"/>
          <w:szCs w:val="19"/>
        </w:rPr>
        <w:t xml:space="preserve">/admin</w:t>
      </w:r>
      <w:r>
        <w:rPr>
          <w:sz w:val="21"/>
          <w:szCs w:val="21"/>
        </w:rPr>
        <w:t xml:space="preserve">) : publie/modifie/supprime</w:t>
      </w:r>
    </w:p>
    <w:p>
      <w:pPr>
        <w:spacing w:after="120"/>
      </w:pPr>
      <w:r>
        <w:rPr>
          <w:sz w:val="21"/>
          <w:szCs w:val="21"/>
        </w:rPr>
        <w:t xml:space="preserve">les annonces et événements, gère la disposition du tableau de bord, supprime tout fichier.</w:t>
      </w:r>
    </w:p>
    <w:p>
      <w:pPr>
        <w:pStyle w:val="ListParagraph"/>
        <w:numPr>
          <w:ilvl w:val="0"/>
          <w:numId w:val="1"/>
        </w:numPr>
        <w:spacing w:after="60"/>
      </w:pPr>
      <w:r>
        <w:rPr>
          <w:b/>
          <w:bCs/>
          <w:sz w:val="21"/>
          <w:szCs w:val="21"/>
        </w:rPr>
        <w:t xml:space="preserve">Public secondaire</w:t>
      </w:r>
      <w:r>
        <w:rPr>
          <w:sz w:val="21"/>
          <w:szCs w:val="21"/>
        </w:rPr>
        <w:t xml:space="preserve"> : intervenants et évaluateurs des revues de projet</w:t>
      </w:r>
    </w:p>
    <w:p>
      <w:pPr>
        <w:spacing w:after="120"/>
      </w:pPr>
      <w:r>
        <w:rPr>
          <w:sz w:val="21"/>
          <w:szCs w:val="21"/>
        </w:rPr>
        <w:t xml:space="preserve">ydays, jury de certification RNCP.</w:t>
      </w:r>
    </w:p>
    <w:p>
      <w:pPr>
        <w:pStyle w:val="Heading2"/>
        <w:spacing w:after="140" w:before="300"/>
      </w:pPr>
      <w:r>
        <w:t xml:space="preserve">Section 6 — Besoins par profil utilisateur</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4675"/>
        <w:gridCol w:w="4675"/>
      </w:tblGrid>
      <w:tr>
        <w:trPr>
          <w:tblHeader/>
        </w:trPr>
        <w:tc>
          <w:tcPr>
            <w:tcW w:type="dxa" w:w="4675"/>
            <w:shd w:fill="1f2937" w:color="auto" w:val="clear"/>
            <w:tcMar>
              <w:top w:type="dxa" w:w="60"/>
              <w:left w:type="dxa" w:w="100"/>
              <w:bottom w:type="dxa" w:w="60"/>
              <w:right w:type="dxa" w:w="100"/>
            </w:tcMar>
          </w:tcPr>
          <w:p>
            <w:r>
              <w:rPr>
                <w:b/>
                <w:bCs/>
                <w:color w:val="FFFFFF"/>
                <w:sz w:val="19"/>
                <w:szCs w:val="19"/>
              </w:rPr>
              <w:t xml:space="preserve">Profil</w:t>
            </w:r>
          </w:p>
        </w:tc>
        <w:tc>
          <w:tcPr>
            <w:tcW w:type="dxa" w:w="4675"/>
            <w:shd w:fill="1f2937" w:color="auto" w:val="clear"/>
            <w:tcMar>
              <w:top w:type="dxa" w:w="60"/>
              <w:left w:type="dxa" w:w="100"/>
              <w:bottom w:type="dxa" w:w="60"/>
              <w:right w:type="dxa" w:w="100"/>
            </w:tcMar>
          </w:tcPr>
          <w:p>
            <w:r>
              <w:rPr>
                <w:b/>
                <w:bCs/>
                <w:color w:val="FFFFFF"/>
                <w:sz w:val="19"/>
                <w:szCs w:val="19"/>
              </w:rPr>
              <w:t xml:space="preserve">Besoin principal</w:t>
            </w:r>
          </w:p>
        </w:tc>
      </w:tr>
      <w:tr>
        <w:trPr>
          <w:tblHeader w:val="false"/>
        </w:trPr>
        <w:tc>
          <w:tcPr>
            <w:tcW w:type="dxa" w:w="4675"/>
            <w:tcMar>
              <w:top w:type="dxa" w:w="60"/>
              <w:left w:type="dxa" w:w="100"/>
              <w:bottom w:type="dxa" w:w="60"/>
              <w:right w:type="dxa" w:w="100"/>
            </w:tcMar>
          </w:tcPr>
          <w:p>
            <w:r>
              <w:rPr>
                <w:sz w:val="21"/>
                <w:szCs w:val="21"/>
              </w:rPr>
              <w:t xml:space="preserve">Standard</w:t>
            </w:r>
          </w:p>
        </w:tc>
        <w:tc>
          <w:tcPr>
            <w:tcW w:type="dxa" w:w="4675"/>
            <w:tcMar>
              <w:top w:type="dxa" w:w="60"/>
              <w:left w:type="dxa" w:w="100"/>
              <w:bottom w:type="dxa" w:w="60"/>
              <w:right w:type="dxa" w:w="100"/>
            </w:tcMar>
          </w:tcPr>
          <w:p>
            <w:r>
              <w:rPr>
                <w:sz w:val="21"/>
                <w:szCs w:val="21"/>
              </w:rPr>
              <w:t xml:space="preserve">Voir les annonces et le planning, gérer ses propres fichiers, accéder au chat</w:t>
            </w:r>
          </w:p>
        </w:tc>
      </w:tr>
      <w:tr>
        <w:trPr>
          <w:tblHeader w:val="false"/>
        </w:trPr>
        <w:tc>
          <w:tcPr>
            <w:tcW w:type="dxa" w:w="4675"/>
            <w:tcMar>
              <w:top w:type="dxa" w:w="60"/>
              <w:left w:type="dxa" w:w="100"/>
              <w:bottom w:type="dxa" w:w="60"/>
              <w:right w:type="dxa" w:w="100"/>
            </w:tcMar>
          </w:tcPr>
          <w:p>
            <w:r>
              <w:rPr>
                <w:sz w:val="21"/>
                <w:szCs w:val="21"/>
              </w:rPr>
              <w:t xml:space="preserve">Admin</w:t>
            </w:r>
          </w:p>
        </w:tc>
        <w:tc>
          <w:tcPr>
            <w:tcW w:type="dxa" w:w="4675"/>
            <w:tcMar>
              <w:top w:type="dxa" w:w="60"/>
              <w:left w:type="dxa" w:w="100"/>
              <w:bottom w:type="dxa" w:w="60"/>
              <w:right w:type="dxa" w:w="100"/>
            </w:tcMar>
          </w:tcPr>
          <w:p>
            <w:r>
              <w:rPr>
                <w:sz w:val="21"/>
                <w:szCs w:val="21"/>
              </w:rPr>
              <w:t xml:space="preserve">Tout ce que fait un standard, + publier/gérer les annonces, événements et widgets</w:t>
            </w:r>
          </w:p>
        </w:tc>
      </w:tr>
      <w:tr>
        <w:trPr>
          <w:tblHeader w:val="false"/>
        </w:trPr>
        <w:tc>
          <w:tcPr>
            <w:tcW w:type="dxa" w:w="4675"/>
            <w:tcMar>
              <w:top w:type="dxa" w:w="60"/>
              <w:left w:type="dxa" w:w="100"/>
              <w:bottom w:type="dxa" w:w="60"/>
              <w:right w:type="dxa" w:w="100"/>
            </w:tcMar>
          </w:tcPr>
          <w:p>
            <w:r>
              <w:rPr>
                <w:sz w:val="21"/>
                <w:szCs w:val="21"/>
              </w:rPr>
              <w:t xml:space="preserve">(Super-admin envisagé)</w:t>
            </w:r>
          </w:p>
        </w:tc>
        <w:tc>
          <w:tcPr>
            <w:tcW w:type="dxa" w:w="4675"/>
            <w:tcMar>
              <w:top w:type="dxa" w:w="60"/>
              <w:left w:type="dxa" w:w="100"/>
              <w:bottom w:type="dxa" w:w="60"/>
              <w:right w:type="dxa" w:w="100"/>
            </w:tcMar>
          </w:tcPr>
          <w:p>
            <w:r>
              <w:rPr>
                <w:sz w:val="21"/>
                <w:szCs w:val="21"/>
              </w:rPr>
              <w:t xml:space="preserve">Administration Keycloak elle-même (hors périmètre applicatif GestHub)</w:t>
            </w:r>
          </w:p>
        </w:tc>
      </w:tr>
    </w:tbl>
    <w:p>
      <w:pPr>
        <w:spacing w:after="160"/>
      </w:pPr>
    </w:p>
    <w:p>
      <w:pPr>
        <w:pStyle w:val="Heading2"/>
        <w:spacing w:after="140" w:before="300"/>
      </w:pPr>
      <w:r>
        <w:t xml:space="preserve">Section 7 — Acteurs et rôles</w:t>
      </w:r>
    </w:p>
    <w:p>
      <w:pPr>
        <w:spacing w:after="120"/>
      </w:pPr>
      <w:r>
        <w:rPr>
          <w:sz w:val="21"/>
          <w:szCs w:val="21"/>
        </w:rPr>
        <w:t xml:space="preserve">Les rôles sont portés par les </w:t>
      </w:r>
      <w:r>
        <w:rPr>
          <w:b/>
          <w:bCs/>
          <w:sz w:val="21"/>
          <w:szCs w:val="21"/>
        </w:rPr>
        <w:t xml:space="preserve">groupes Keycloak</w:t>
      </w:r>
      <w:r>
        <w:rPr>
          <w:sz w:val="21"/>
          <w:szCs w:val="21"/>
        </w:rPr>
        <w:t xml:space="preserve">, propagés dans le token OIDC (claim </w:t>
      </w:r>
      <w:r>
        <w:rPr>
          <w:rFonts w:ascii="Consolas" w:cs="Consolas" w:eastAsia="Consolas" w:hAnsi="Consolas"/>
          <w:color w:val="1f2937"/>
          <w:sz w:val="19"/>
          <w:szCs w:val="19"/>
        </w:rPr>
        <w:t xml:space="preserve">groups</w:t>
      </w:r>
      <w:r>
        <w:rPr>
          <w:sz w:val="21"/>
          <w:szCs w:val="21"/>
        </w:rPr>
        <w:t xml:space="preserve">) et vérifiés à chaque requête sensible côté Flask (</w:t>
      </w:r>
      <w:r>
        <w:rPr>
          <w:rFonts w:ascii="Consolas" w:cs="Consolas" w:eastAsia="Consolas" w:hAnsi="Consolas"/>
          <w:color w:val="1f2937"/>
          <w:sz w:val="19"/>
          <w:szCs w:val="19"/>
        </w:rPr>
        <w:t xml:space="preserve">services/auth_service.py</w:t>
      </w:r>
      <w:r>
        <w:rPr>
          <w:sz w:val="21"/>
          <w:szCs w:val="21"/>
        </w:rPr>
        <w:t xml:space="preserve">) — aucune notion de rôle n'est stockée localement en dehors de la session applicative.</w:t>
      </w:r>
    </w:p>
    <w:p>
      <w:pPr>
        <w:pStyle w:val="Heading2"/>
        <w:spacing w:after="140" w:before="300"/>
      </w:pPr>
      <w:r>
        <w:t xml:space="preserve">Section 8 — Périmètre fonctionnel (10 modules)</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2337"/>
        <w:gridCol w:w="2337"/>
        <w:gridCol w:w="2337"/>
        <w:gridCol w:w="2337"/>
      </w:tblGrid>
      <w:tr>
        <w:trPr>
          <w:tblHeader/>
        </w:trPr>
        <w:tc>
          <w:tcPr>
            <w:tcW w:type="dxa" w:w="2337"/>
            <w:shd w:fill="1f2937" w:color="auto" w:val="clear"/>
            <w:tcMar>
              <w:top w:type="dxa" w:w="60"/>
              <w:left w:type="dxa" w:w="100"/>
              <w:bottom w:type="dxa" w:w="60"/>
              <w:right w:type="dxa" w:w="100"/>
            </w:tcMar>
          </w:tcPr>
          <w:p>
            <w:r>
              <w:rPr>
                <w:b/>
                <w:bCs/>
                <w:color w:val="FFFFFF"/>
                <w:sz w:val="19"/>
                <w:szCs w:val="19"/>
              </w:rPr>
              <w:t xml:space="preserve">#</w:t>
            </w:r>
          </w:p>
        </w:tc>
        <w:tc>
          <w:tcPr>
            <w:tcW w:type="dxa" w:w="2337"/>
            <w:shd w:fill="1f2937" w:color="auto" w:val="clear"/>
            <w:tcMar>
              <w:top w:type="dxa" w:w="60"/>
              <w:left w:type="dxa" w:w="100"/>
              <w:bottom w:type="dxa" w:w="60"/>
              <w:right w:type="dxa" w:w="100"/>
            </w:tcMar>
          </w:tcPr>
          <w:p>
            <w:r>
              <w:rPr>
                <w:b/>
                <w:bCs/>
                <w:color w:val="FFFFFF"/>
                <w:sz w:val="19"/>
                <w:szCs w:val="19"/>
              </w:rPr>
              <w:t xml:space="preserve">Module</w:t>
            </w:r>
          </w:p>
        </w:tc>
        <w:tc>
          <w:tcPr>
            <w:tcW w:type="dxa" w:w="2337"/>
            <w:shd w:fill="1f2937" w:color="auto" w:val="clear"/>
            <w:tcMar>
              <w:top w:type="dxa" w:w="60"/>
              <w:left w:type="dxa" w:w="100"/>
              <w:bottom w:type="dxa" w:w="60"/>
              <w:right w:type="dxa" w:w="100"/>
            </w:tcMar>
          </w:tcPr>
          <w:p>
            <w:r>
              <w:rPr>
                <w:b/>
                <w:bCs/>
                <w:color w:val="FFFFFF"/>
                <w:sz w:val="19"/>
                <w:szCs w:val="19"/>
              </w:rPr>
              <w:t xml:space="preserve">Statut</w:t>
            </w:r>
          </w:p>
        </w:tc>
        <w:tc>
          <w:tcPr>
            <w:tcW w:type="dxa" w:w="2337"/>
            <w:shd w:fill="1f2937" w:color="auto" w:val="clear"/>
            <w:tcMar>
              <w:top w:type="dxa" w:w="60"/>
              <w:left w:type="dxa" w:w="100"/>
              <w:bottom w:type="dxa" w:w="60"/>
              <w:right w:type="dxa" w:w="100"/>
            </w:tcMar>
          </w:tcPr>
          <w:p>
            <w:r>
              <w:rPr>
                <w:b/>
                <w:bCs/>
                <w:color w:val="FFFFFF"/>
                <w:sz w:val="19"/>
                <w:szCs w:val="19"/>
              </w:rPr>
              <w:t xml:space="preserve">Technologies</w:t>
            </w:r>
          </w:p>
        </w:tc>
      </w:tr>
      <w:tr>
        <w:trPr>
          <w:tblHeader w:val="false"/>
        </w:trPr>
        <w:tc>
          <w:tcPr>
            <w:tcW w:type="dxa" w:w="2337"/>
            <w:tcMar>
              <w:top w:type="dxa" w:w="60"/>
              <w:left w:type="dxa" w:w="100"/>
              <w:bottom w:type="dxa" w:w="60"/>
              <w:right w:type="dxa" w:w="100"/>
            </w:tcMar>
          </w:tcPr>
          <w:p>
            <w:r>
              <w:rPr>
                <w:sz w:val="21"/>
                <w:szCs w:val="21"/>
              </w:rPr>
              <w:t xml:space="preserve">1</w:t>
            </w:r>
          </w:p>
        </w:tc>
        <w:tc>
          <w:tcPr>
            <w:tcW w:type="dxa" w:w="2337"/>
            <w:tcMar>
              <w:top w:type="dxa" w:w="60"/>
              <w:left w:type="dxa" w:w="100"/>
              <w:bottom w:type="dxa" w:w="60"/>
              <w:right w:type="dxa" w:w="100"/>
            </w:tcMar>
          </w:tcPr>
          <w:p>
            <w:r>
              <w:rPr>
                <w:sz w:val="21"/>
                <w:szCs w:val="21"/>
              </w:rPr>
              <w:t xml:space="preserve">Authentification SSO</w:t>
            </w:r>
          </w:p>
        </w:tc>
        <w:tc>
          <w:tcPr>
            <w:tcW w:type="dxa" w:w="2337"/>
            <w:tcMar>
              <w:top w:type="dxa" w:w="60"/>
              <w:left w:type="dxa" w:w="100"/>
              <w:bottom w:type="dxa" w:w="60"/>
              <w:right w:type="dxa" w:w="100"/>
            </w:tcMar>
          </w:tcPr>
          <w:p>
            <w:r>
              <w:rPr>
                <w:sz w:val="21"/>
                <w:szCs w:val="21"/>
              </w:rPr>
              <w:t xml:space="preserve">Terminé</w:t>
            </w:r>
          </w:p>
        </w:tc>
        <w:tc>
          <w:tcPr>
            <w:tcW w:type="dxa" w:w="2337"/>
            <w:tcMar>
              <w:top w:type="dxa" w:w="60"/>
              <w:left w:type="dxa" w:w="100"/>
              <w:bottom w:type="dxa" w:w="60"/>
              <w:right w:type="dxa" w:w="100"/>
            </w:tcMar>
          </w:tcPr>
          <w:p>
            <w:r>
              <w:rPr>
                <w:sz w:val="21"/>
                <w:szCs w:val="21"/>
              </w:rPr>
              <w:t xml:space="preserve">Keycloak, OIDC, Authlib</w:t>
            </w:r>
          </w:p>
        </w:tc>
      </w:tr>
      <w:tr>
        <w:trPr>
          <w:tblHeader w:val="false"/>
        </w:trPr>
        <w:tc>
          <w:tcPr>
            <w:tcW w:type="dxa" w:w="2337"/>
            <w:tcMar>
              <w:top w:type="dxa" w:w="60"/>
              <w:left w:type="dxa" w:w="100"/>
              <w:bottom w:type="dxa" w:w="60"/>
              <w:right w:type="dxa" w:w="100"/>
            </w:tcMar>
          </w:tcPr>
          <w:p>
            <w:r>
              <w:rPr>
                <w:sz w:val="21"/>
                <w:szCs w:val="21"/>
              </w:rPr>
              <w:t xml:space="preserve">2</w:t>
            </w:r>
          </w:p>
        </w:tc>
        <w:tc>
          <w:tcPr>
            <w:tcW w:type="dxa" w:w="2337"/>
            <w:tcMar>
              <w:top w:type="dxa" w:w="60"/>
              <w:left w:type="dxa" w:w="100"/>
              <w:bottom w:type="dxa" w:w="60"/>
              <w:right w:type="dxa" w:w="100"/>
            </w:tcMar>
          </w:tcPr>
          <w:p>
            <w:r>
              <w:rPr>
                <w:sz w:val="21"/>
                <w:szCs w:val="21"/>
              </w:rPr>
              <w:t xml:space="preserve">Tableau de bord / widgets</w:t>
            </w:r>
          </w:p>
        </w:tc>
        <w:tc>
          <w:tcPr>
            <w:tcW w:type="dxa" w:w="2337"/>
            <w:tcMar>
              <w:top w:type="dxa" w:w="60"/>
              <w:left w:type="dxa" w:w="100"/>
              <w:bottom w:type="dxa" w:w="60"/>
              <w:right w:type="dxa" w:w="100"/>
            </w:tcMar>
          </w:tcPr>
          <w:p>
            <w:r>
              <w:rPr>
                <w:sz w:val="21"/>
                <w:szCs w:val="21"/>
              </w:rPr>
              <w:t xml:space="preserve">Terminé</w:t>
            </w:r>
          </w:p>
        </w:tc>
        <w:tc>
          <w:tcPr>
            <w:tcW w:type="dxa" w:w="2337"/>
            <w:tcMar>
              <w:top w:type="dxa" w:w="60"/>
              <w:left w:type="dxa" w:w="100"/>
              <w:bottom w:type="dxa" w:w="60"/>
              <w:right w:type="dxa" w:w="100"/>
            </w:tcMar>
          </w:tcPr>
          <w:p>
            <w:r>
              <w:rPr>
                <w:sz w:val="21"/>
                <w:szCs w:val="21"/>
              </w:rPr>
              <w:t xml:space="preserve">Flask, PyMySQL, SortableJS</w:t>
            </w:r>
          </w:p>
        </w:tc>
      </w:tr>
      <w:tr>
        <w:trPr>
          <w:tblHeader w:val="false"/>
        </w:trPr>
        <w:tc>
          <w:tcPr>
            <w:tcW w:type="dxa" w:w="2337"/>
            <w:tcMar>
              <w:top w:type="dxa" w:w="60"/>
              <w:left w:type="dxa" w:w="100"/>
              <w:bottom w:type="dxa" w:w="60"/>
              <w:right w:type="dxa" w:w="100"/>
            </w:tcMar>
          </w:tcPr>
          <w:p>
            <w:r>
              <w:rPr>
                <w:sz w:val="21"/>
                <w:szCs w:val="21"/>
              </w:rPr>
              <w:t xml:space="preserve">3</w:t>
            </w:r>
          </w:p>
        </w:tc>
        <w:tc>
          <w:tcPr>
            <w:tcW w:type="dxa" w:w="2337"/>
            <w:tcMar>
              <w:top w:type="dxa" w:w="60"/>
              <w:left w:type="dxa" w:w="100"/>
              <w:bottom w:type="dxa" w:w="60"/>
              <w:right w:type="dxa" w:w="100"/>
            </w:tcMar>
          </w:tcPr>
          <w:p>
            <w:r>
              <w:rPr>
                <w:sz w:val="21"/>
                <w:szCs w:val="21"/>
              </w:rPr>
              <w:t xml:space="preserve">Annonces</w:t>
            </w:r>
          </w:p>
        </w:tc>
        <w:tc>
          <w:tcPr>
            <w:tcW w:type="dxa" w:w="2337"/>
            <w:tcMar>
              <w:top w:type="dxa" w:w="60"/>
              <w:left w:type="dxa" w:w="100"/>
              <w:bottom w:type="dxa" w:w="60"/>
              <w:right w:type="dxa" w:w="100"/>
            </w:tcMar>
          </w:tcPr>
          <w:p>
            <w:r>
              <w:rPr>
                <w:sz w:val="21"/>
                <w:szCs w:val="21"/>
              </w:rPr>
              <w:t xml:space="preserve">Terminé</w:t>
            </w:r>
          </w:p>
        </w:tc>
        <w:tc>
          <w:tcPr>
            <w:tcW w:type="dxa" w:w="2337"/>
            <w:tcMar>
              <w:top w:type="dxa" w:w="60"/>
              <w:left w:type="dxa" w:w="100"/>
              <w:bottom w:type="dxa" w:w="60"/>
              <w:right w:type="dxa" w:w="100"/>
            </w:tcMar>
          </w:tcPr>
          <w:p>
            <w:r>
              <w:rPr>
                <w:sz w:val="21"/>
                <w:szCs w:val="21"/>
              </w:rPr>
              <w:t xml:space="preserve">Flask, PyMySQL, MariaDB</w:t>
            </w:r>
          </w:p>
        </w:tc>
      </w:tr>
      <w:tr>
        <w:trPr>
          <w:tblHeader w:val="false"/>
        </w:trPr>
        <w:tc>
          <w:tcPr>
            <w:tcW w:type="dxa" w:w="2337"/>
            <w:tcMar>
              <w:top w:type="dxa" w:w="60"/>
              <w:left w:type="dxa" w:w="100"/>
              <w:bottom w:type="dxa" w:w="60"/>
              <w:right w:type="dxa" w:w="100"/>
            </w:tcMar>
          </w:tcPr>
          <w:p>
            <w:r>
              <w:rPr>
                <w:sz w:val="21"/>
                <w:szCs w:val="21"/>
              </w:rPr>
              <w:t xml:space="preserve">4</w:t>
            </w:r>
          </w:p>
        </w:tc>
        <w:tc>
          <w:tcPr>
            <w:tcW w:type="dxa" w:w="2337"/>
            <w:tcMar>
              <w:top w:type="dxa" w:w="60"/>
              <w:left w:type="dxa" w:w="100"/>
              <w:bottom w:type="dxa" w:w="60"/>
              <w:right w:type="dxa" w:w="100"/>
            </w:tcMar>
          </w:tcPr>
          <w:p>
            <w:r>
              <w:rPr>
                <w:sz w:val="21"/>
                <w:szCs w:val="21"/>
              </w:rPr>
              <w:t xml:space="preserve">Partage de fichiers</w:t>
            </w:r>
          </w:p>
        </w:tc>
        <w:tc>
          <w:tcPr>
            <w:tcW w:type="dxa" w:w="2337"/>
            <w:tcMar>
              <w:top w:type="dxa" w:w="60"/>
              <w:left w:type="dxa" w:w="100"/>
              <w:bottom w:type="dxa" w:w="60"/>
              <w:right w:type="dxa" w:w="100"/>
            </w:tcMar>
          </w:tcPr>
          <w:p>
            <w:r>
              <w:rPr>
                <w:sz w:val="21"/>
                <w:szCs w:val="21"/>
              </w:rPr>
              <w:t xml:space="preserve">Terminé</w:t>
            </w:r>
          </w:p>
        </w:tc>
        <w:tc>
          <w:tcPr>
            <w:tcW w:type="dxa" w:w="2337"/>
            <w:tcMar>
              <w:top w:type="dxa" w:w="60"/>
              <w:left w:type="dxa" w:w="100"/>
              <w:bottom w:type="dxa" w:w="60"/>
              <w:right w:type="dxa" w:w="100"/>
            </w:tcMar>
          </w:tcPr>
          <w:p>
            <w:r>
              <w:rPr>
                <w:sz w:val="21"/>
                <w:szCs w:val="21"/>
              </w:rPr>
              <w:t xml:space="preserve">Flask, python-magic, PyMySQL</w:t>
            </w:r>
          </w:p>
        </w:tc>
      </w:tr>
      <w:tr>
        <w:trPr>
          <w:tblHeader w:val="false"/>
        </w:trPr>
        <w:tc>
          <w:tcPr>
            <w:tcW w:type="dxa" w:w="2337"/>
            <w:tcMar>
              <w:top w:type="dxa" w:w="60"/>
              <w:left w:type="dxa" w:w="100"/>
              <w:bottom w:type="dxa" w:w="60"/>
              <w:right w:type="dxa" w:w="100"/>
            </w:tcMar>
          </w:tcPr>
          <w:p>
            <w:r>
              <w:rPr>
                <w:sz w:val="21"/>
                <w:szCs w:val="21"/>
              </w:rPr>
              <w:t xml:space="preserve">5</w:t>
            </w:r>
          </w:p>
        </w:tc>
        <w:tc>
          <w:tcPr>
            <w:tcW w:type="dxa" w:w="2337"/>
            <w:tcMar>
              <w:top w:type="dxa" w:w="60"/>
              <w:left w:type="dxa" w:w="100"/>
              <w:bottom w:type="dxa" w:w="60"/>
              <w:right w:type="dxa" w:w="100"/>
            </w:tcMar>
          </w:tcPr>
          <w:p>
            <w:r>
              <w:rPr>
                <w:sz w:val="21"/>
                <w:szCs w:val="21"/>
              </w:rPr>
              <w:t xml:space="preserve">Planning / événements</w:t>
            </w:r>
          </w:p>
        </w:tc>
        <w:tc>
          <w:tcPr>
            <w:tcW w:type="dxa" w:w="2337"/>
            <w:tcMar>
              <w:top w:type="dxa" w:w="60"/>
              <w:left w:type="dxa" w:w="100"/>
              <w:bottom w:type="dxa" w:w="60"/>
              <w:right w:type="dxa" w:w="100"/>
            </w:tcMar>
          </w:tcPr>
          <w:p>
            <w:r>
              <w:rPr>
                <w:sz w:val="21"/>
                <w:szCs w:val="21"/>
              </w:rPr>
              <w:t xml:space="preserve">Terminé</w:t>
            </w:r>
          </w:p>
        </w:tc>
        <w:tc>
          <w:tcPr>
            <w:tcW w:type="dxa" w:w="2337"/>
            <w:tcMar>
              <w:top w:type="dxa" w:w="60"/>
              <w:left w:type="dxa" w:w="100"/>
              <w:bottom w:type="dxa" w:w="60"/>
              <w:right w:type="dxa" w:w="100"/>
            </w:tcMar>
          </w:tcPr>
          <w:p>
            <w:r>
              <w:rPr>
                <w:sz w:val="21"/>
                <w:szCs w:val="21"/>
              </w:rPr>
              <w:t xml:space="preserve">Flask, PyMySQL</w:t>
            </w:r>
          </w:p>
        </w:tc>
      </w:tr>
      <w:tr>
        <w:trPr>
          <w:tblHeader w:val="false"/>
        </w:trPr>
        <w:tc>
          <w:tcPr>
            <w:tcW w:type="dxa" w:w="2337"/>
            <w:tcMar>
              <w:top w:type="dxa" w:w="60"/>
              <w:left w:type="dxa" w:w="100"/>
              <w:bottom w:type="dxa" w:w="60"/>
              <w:right w:type="dxa" w:w="100"/>
            </w:tcMar>
          </w:tcPr>
          <w:p>
            <w:r>
              <w:rPr>
                <w:sz w:val="21"/>
                <w:szCs w:val="21"/>
              </w:rPr>
              <w:t xml:space="preserve">6</w:t>
            </w:r>
          </w:p>
        </w:tc>
        <w:tc>
          <w:tcPr>
            <w:tcW w:type="dxa" w:w="2337"/>
            <w:tcMar>
              <w:top w:type="dxa" w:w="60"/>
              <w:left w:type="dxa" w:w="100"/>
              <w:bottom w:type="dxa" w:w="60"/>
              <w:right w:type="dxa" w:w="100"/>
            </w:tcMar>
          </w:tcPr>
          <w:p>
            <w:r>
              <w:rPr>
                <w:sz w:val="21"/>
                <w:szCs w:val="21"/>
              </w:rPr>
              <w:t xml:space="preserve">Chat</w:t>
            </w:r>
          </w:p>
        </w:tc>
        <w:tc>
          <w:tcPr>
            <w:tcW w:type="dxa" w:w="2337"/>
            <w:tcMar>
              <w:top w:type="dxa" w:w="60"/>
              <w:left w:type="dxa" w:w="100"/>
              <w:bottom w:type="dxa" w:w="60"/>
              <w:right w:type="dxa" w:w="100"/>
            </w:tcMar>
          </w:tcPr>
          <w:p>
            <w:r>
              <w:rPr>
                <w:sz w:val="21"/>
                <w:szCs w:val="21"/>
              </w:rPr>
              <w:t xml:space="preserve">Terminé (réutilisation)</w:t>
            </w:r>
          </w:p>
        </w:tc>
        <w:tc>
          <w:tcPr>
            <w:tcW w:type="dxa" w:w="2337"/>
            <w:tcMar>
              <w:top w:type="dxa" w:w="60"/>
              <w:left w:type="dxa" w:w="100"/>
              <w:bottom w:type="dxa" w:w="60"/>
              <w:right w:type="dxa" w:w="100"/>
            </w:tcMar>
          </w:tcPr>
          <w:p>
            <w:r>
              <w:rPr>
                <w:sz w:val="21"/>
                <w:szCs w:val="21"/>
              </w:rPr>
              <w:t xml:space="preserve">Mattermost (iframe, SSO partagé)</w:t>
            </w:r>
          </w:p>
        </w:tc>
      </w:tr>
      <w:tr>
        <w:trPr>
          <w:tblHeader w:val="false"/>
        </w:trPr>
        <w:tc>
          <w:tcPr>
            <w:tcW w:type="dxa" w:w="2337"/>
            <w:tcMar>
              <w:top w:type="dxa" w:w="60"/>
              <w:left w:type="dxa" w:w="100"/>
              <w:bottom w:type="dxa" w:w="60"/>
              <w:right w:type="dxa" w:w="100"/>
            </w:tcMar>
          </w:tcPr>
          <w:p>
            <w:r>
              <w:rPr>
                <w:sz w:val="21"/>
                <w:szCs w:val="21"/>
              </w:rPr>
              <w:t xml:space="preserve">7</w:t>
            </w:r>
          </w:p>
        </w:tc>
        <w:tc>
          <w:tcPr>
            <w:tcW w:type="dxa" w:w="2337"/>
            <w:tcMar>
              <w:top w:type="dxa" w:w="60"/>
              <w:left w:type="dxa" w:w="100"/>
              <w:bottom w:type="dxa" w:w="60"/>
              <w:right w:type="dxa" w:w="100"/>
            </w:tcMar>
          </w:tcPr>
          <w:p>
            <w:r>
              <w:rPr>
                <w:sz w:val="21"/>
                <w:szCs w:val="21"/>
              </w:rPr>
              <w:t xml:space="preserve">Kanban</w:t>
            </w:r>
          </w:p>
        </w:tc>
        <w:tc>
          <w:tcPr>
            <w:tcW w:type="dxa" w:w="2337"/>
            <w:tcMar>
              <w:top w:type="dxa" w:w="60"/>
              <w:left w:type="dxa" w:w="100"/>
              <w:bottom w:type="dxa" w:w="60"/>
              <w:right w:type="dxa" w:w="100"/>
            </w:tcMar>
          </w:tcPr>
          <w:p>
            <w:r>
              <w:rPr>
                <w:sz w:val="21"/>
                <w:szCs w:val="21"/>
              </w:rPr>
              <w:t xml:space="preserve">Terminé (réutilisation)</w:t>
            </w:r>
          </w:p>
        </w:tc>
        <w:tc>
          <w:tcPr>
            <w:tcW w:type="dxa" w:w="2337"/>
            <w:tcMar>
              <w:top w:type="dxa" w:w="60"/>
              <w:left w:type="dxa" w:w="100"/>
              <w:bottom w:type="dxa" w:w="60"/>
              <w:right w:type="dxa" w:w="100"/>
            </w:tcMar>
          </w:tcPr>
          <w:p>
            <w:r>
              <w:rPr>
                <w:sz w:val="21"/>
                <w:szCs w:val="21"/>
              </w:rPr>
              <w:t xml:space="preserve">Mattermost Boards (iframe)</w:t>
            </w:r>
          </w:p>
        </w:tc>
      </w:tr>
      <w:tr>
        <w:trPr>
          <w:tblHeader w:val="false"/>
        </w:trPr>
        <w:tc>
          <w:tcPr>
            <w:tcW w:type="dxa" w:w="2337"/>
            <w:tcMar>
              <w:top w:type="dxa" w:w="60"/>
              <w:left w:type="dxa" w:w="100"/>
              <w:bottom w:type="dxa" w:w="60"/>
              <w:right w:type="dxa" w:w="100"/>
            </w:tcMar>
          </w:tcPr>
          <w:p>
            <w:r>
              <w:rPr>
                <w:sz w:val="21"/>
                <w:szCs w:val="21"/>
              </w:rPr>
              <w:t xml:space="preserve">8</w:t>
            </w:r>
          </w:p>
        </w:tc>
        <w:tc>
          <w:tcPr>
            <w:tcW w:type="dxa" w:w="2337"/>
            <w:tcMar>
              <w:top w:type="dxa" w:w="60"/>
              <w:left w:type="dxa" w:w="100"/>
              <w:bottom w:type="dxa" w:w="60"/>
              <w:right w:type="dxa" w:w="100"/>
            </w:tcMar>
          </w:tcPr>
          <w:p>
            <w:r>
              <w:rPr>
                <w:sz w:val="21"/>
                <w:szCs w:val="21"/>
              </w:rPr>
              <w:t xml:space="preserve">Gestion des droits</w:t>
            </w:r>
          </w:p>
        </w:tc>
        <w:tc>
          <w:tcPr>
            <w:tcW w:type="dxa" w:w="2337"/>
            <w:tcMar>
              <w:top w:type="dxa" w:w="60"/>
              <w:left w:type="dxa" w:w="100"/>
              <w:bottom w:type="dxa" w:w="60"/>
              <w:right w:type="dxa" w:w="100"/>
            </w:tcMar>
          </w:tcPr>
          <w:p>
            <w:r>
              <w:rPr>
                <w:sz w:val="21"/>
                <w:szCs w:val="21"/>
              </w:rPr>
              <w:t xml:space="preserve">Terminé</w:t>
            </w:r>
          </w:p>
        </w:tc>
        <w:tc>
          <w:tcPr>
            <w:tcW w:type="dxa" w:w="2337"/>
            <w:tcMar>
              <w:top w:type="dxa" w:w="60"/>
              <w:left w:type="dxa" w:w="100"/>
              <w:bottom w:type="dxa" w:w="60"/>
              <w:right w:type="dxa" w:w="100"/>
            </w:tcMar>
          </w:tcPr>
          <w:p>
            <w:r>
              <w:rPr>
                <w:sz w:val="21"/>
                <w:szCs w:val="21"/>
              </w:rPr>
              <w:t xml:space="preserve">Groupes Keycloak, décorateurs Flask</w:t>
            </w:r>
          </w:p>
        </w:tc>
      </w:tr>
      <w:tr>
        <w:trPr>
          <w:tblHeader w:val="false"/>
        </w:trPr>
        <w:tc>
          <w:tcPr>
            <w:tcW w:type="dxa" w:w="2337"/>
            <w:tcMar>
              <w:top w:type="dxa" w:w="60"/>
              <w:left w:type="dxa" w:w="100"/>
              <w:bottom w:type="dxa" w:w="60"/>
              <w:right w:type="dxa" w:w="100"/>
            </w:tcMar>
          </w:tcPr>
          <w:p>
            <w:r>
              <w:rPr>
                <w:sz w:val="21"/>
                <w:szCs w:val="21"/>
              </w:rPr>
              <w:t xml:space="preserve">9</w:t>
            </w:r>
          </w:p>
        </w:tc>
        <w:tc>
          <w:tcPr>
            <w:tcW w:type="dxa" w:w="2337"/>
            <w:tcMar>
              <w:top w:type="dxa" w:w="60"/>
              <w:left w:type="dxa" w:w="100"/>
              <w:bottom w:type="dxa" w:w="60"/>
              <w:right w:type="dxa" w:w="100"/>
            </w:tcMar>
          </w:tcPr>
          <w:p>
            <w:r>
              <w:rPr>
                <w:sz w:val="21"/>
                <w:szCs w:val="21"/>
              </w:rPr>
              <w:t xml:space="preserve">Journalisation / audit</w:t>
            </w:r>
          </w:p>
        </w:tc>
        <w:tc>
          <w:tcPr>
            <w:tcW w:type="dxa" w:w="2337"/>
            <w:tcMar>
              <w:top w:type="dxa" w:w="60"/>
              <w:left w:type="dxa" w:w="100"/>
              <w:bottom w:type="dxa" w:w="60"/>
              <w:right w:type="dxa" w:w="100"/>
            </w:tcMar>
          </w:tcPr>
          <w:p>
            <w:r>
              <w:rPr>
                <w:sz w:val="21"/>
                <w:szCs w:val="21"/>
              </w:rPr>
              <w:t xml:space="preserve">Terminé</w:t>
            </w:r>
          </w:p>
        </w:tc>
        <w:tc>
          <w:tcPr>
            <w:tcW w:type="dxa" w:w="2337"/>
            <w:tcMar>
              <w:top w:type="dxa" w:w="60"/>
              <w:left w:type="dxa" w:w="100"/>
              <w:bottom w:type="dxa" w:w="60"/>
              <w:right w:type="dxa" w:w="100"/>
            </w:tcMar>
          </w:tcPr>
          <w:p>
            <w:r>
              <w:rPr>
                <w:sz w:val="21"/>
                <w:szCs w:val="21"/>
              </w:rPr>
              <w:t xml:space="preserve">Table </w:t>
            </w:r>
            <w:r>
              <w:rPr>
                <w:rFonts w:ascii="Consolas" w:cs="Consolas" w:eastAsia="Consolas" w:hAnsi="Consolas"/>
                <w:color w:val="1f2937"/>
                <w:sz w:val="19"/>
                <w:szCs w:val="19"/>
              </w:rPr>
              <w:t xml:space="preserve">audit_log</w:t>
            </w:r>
            <w:r>
              <w:rPr>
                <w:sz w:val="21"/>
                <w:szCs w:val="21"/>
              </w:rPr>
              <w:t xml:space="preserve">, MariaDB</w:t>
            </w:r>
          </w:p>
        </w:tc>
      </w:tr>
      <w:tr>
        <w:trPr>
          <w:tblHeader w:val="false"/>
        </w:trPr>
        <w:tc>
          <w:tcPr>
            <w:tcW w:type="dxa" w:w="2337"/>
            <w:tcMar>
              <w:top w:type="dxa" w:w="60"/>
              <w:left w:type="dxa" w:w="100"/>
              <w:bottom w:type="dxa" w:w="60"/>
              <w:right w:type="dxa" w:w="100"/>
            </w:tcMar>
          </w:tcPr>
          <w:p>
            <w:r>
              <w:rPr>
                <w:sz w:val="21"/>
                <w:szCs w:val="21"/>
              </w:rPr>
              <w:t xml:space="preserve">10</w:t>
            </w:r>
          </w:p>
        </w:tc>
        <w:tc>
          <w:tcPr>
            <w:tcW w:type="dxa" w:w="2337"/>
            <w:tcMar>
              <w:top w:type="dxa" w:w="60"/>
              <w:left w:type="dxa" w:w="100"/>
              <w:bottom w:type="dxa" w:w="60"/>
              <w:right w:type="dxa" w:w="100"/>
            </w:tcMar>
          </w:tcPr>
          <w:p>
            <w:r>
              <w:rPr>
                <w:sz w:val="21"/>
                <w:szCs w:val="21"/>
              </w:rPr>
              <w:t xml:space="preserve">Infrastructure</w:t>
            </w:r>
          </w:p>
        </w:tc>
        <w:tc>
          <w:tcPr>
            <w:tcW w:type="dxa" w:w="2337"/>
            <w:tcMar>
              <w:top w:type="dxa" w:w="60"/>
              <w:left w:type="dxa" w:w="100"/>
              <w:bottom w:type="dxa" w:w="60"/>
              <w:right w:type="dxa" w:w="100"/>
            </w:tcMar>
          </w:tcPr>
          <w:p>
            <w:r>
              <w:rPr>
                <w:sz w:val="21"/>
                <w:szCs w:val="21"/>
              </w:rPr>
              <w:t xml:space="preserve">Terminé</w:t>
            </w:r>
          </w:p>
        </w:tc>
        <w:tc>
          <w:tcPr>
            <w:tcW w:type="dxa" w:w="2337"/>
            <w:tcMar>
              <w:top w:type="dxa" w:w="60"/>
              <w:left w:type="dxa" w:w="100"/>
              <w:bottom w:type="dxa" w:w="60"/>
              <w:right w:type="dxa" w:w="100"/>
            </w:tcMar>
          </w:tcPr>
          <w:p>
            <w:r>
              <w:rPr>
                <w:sz w:val="21"/>
                <w:szCs w:val="21"/>
              </w:rPr>
              <w:t xml:space="preserve">Docker Compose, Caddy, TLS auto</w:t>
            </w:r>
          </w:p>
        </w:tc>
      </w:tr>
    </w:tbl>
    <w:p>
      <w:pPr>
        <w:spacing w:after="160"/>
      </w:pPr>
    </w:p>
    <w:p>
      <w:pPr>
        <w:pStyle w:val="Heading2"/>
        <w:spacing w:after="140" w:before="300"/>
      </w:pPr>
      <w:r>
        <w:t xml:space="preserve">Section 9 — Exigences fonctionnelles (EXF)</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2337"/>
        <w:gridCol w:w="2337"/>
        <w:gridCol w:w="2337"/>
        <w:gridCol w:w="2337"/>
      </w:tblGrid>
      <w:tr>
        <w:trPr>
          <w:tblHeader/>
        </w:trPr>
        <w:tc>
          <w:tcPr>
            <w:tcW w:type="dxa" w:w="2337"/>
            <w:shd w:fill="1f2937" w:color="auto" w:val="clear"/>
            <w:tcMar>
              <w:top w:type="dxa" w:w="60"/>
              <w:left w:type="dxa" w:w="100"/>
              <w:bottom w:type="dxa" w:w="60"/>
              <w:right w:type="dxa" w:w="100"/>
            </w:tcMar>
          </w:tcPr>
          <w:p>
            <w:r>
              <w:rPr>
                <w:b/>
                <w:bCs/>
                <w:color w:val="FFFFFF"/>
                <w:sz w:val="19"/>
                <w:szCs w:val="19"/>
              </w:rPr>
              <w:t xml:space="preserve">ID</w:t>
            </w:r>
          </w:p>
        </w:tc>
        <w:tc>
          <w:tcPr>
            <w:tcW w:type="dxa" w:w="2337"/>
            <w:shd w:fill="1f2937" w:color="auto" w:val="clear"/>
            <w:tcMar>
              <w:top w:type="dxa" w:w="60"/>
              <w:left w:type="dxa" w:w="100"/>
              <w:bottom w:type="dxa" w:w="60"/>
              <w:right w:type="dxa" w:w="100"/>
            </w:tcMar>
          </w:tcPr>
          <w:p>
            <w:r>
              <w:rPr>
                <w:b/>
                <w:bCs/>
                <w:color w:val="FFFFFF"/>
                <w:sz w:val="19"/>
                <w:szCs w:val="19"/>
              </w:rPr>
              <w:t xml:space="preserve">Exigence</w:t>
            </w:r>
          </w:p>
        </w:tc>
        <w:tc>
          <w:tcPr>
            <w:tcW w:type="dxa" w:w="2337"/>
            <w:shd w:fill="1f2937" w:color="auto" w:val="clear"/>
            <w:tcMar>
              <w:top w:type="dxa" w:w="60"/>
              <w:left w:type="dxa" w:w="100"/>
              <w:bottom w:type="dxa" w:w="60"/>
              <w:right w:type="dxa" w:w="100"/>
            </w:tcMar>
          </w:tcPr>
          <w:p>
            <w:r>
              <w:rPr>
                <w:b/>
                <w:bCs/>
                <w:color w:val="FFFFFF"/>
                <w:sz w:val="19"/>
                <w:szCs w:val="19"/>
              </w:rPr>
              <w:t xml:space="preserve">Priorité</w:t>
            </w:r>
          </w:p>
        </w:tc>
        <w:tc>
          <w:tcPr>
            <w:tcW w:type="dxa" w:w="2337"/>
            <w:shd w:fill="1f2937" w:color="auto" w:val="clear"/>
            <w:tcMar>
              <w:top w:type="dxa" w:w="60"/>
              <w:left w:type="dxa" w:w="100"/>
              <w:bottom w:type="dxa" w:w="60"/>
              <w:right w:type="dxa" w:w="100"/>
            </w:tcMar>
          </w:tcPr>
          <w:p>
            <w:r>
              <w:rPr>
                <w:b/>
                <w:bCs/>
                <w:color w:val="FFFFFF"/>
                <w:sz w:val="19"/>
                <w:szCs w:val="19"/>
              </w:rPr>
              <w:t xml:space="preserve">Critère d'acceptation</w:t>
            </w:r>
          </w:p>
        </w:tc>
      </w:tr>
      <w:tr>
        <w:trPr>
          <w:tblHeader w:val="false"/>
        </w:trPr>
        <w:tc>
          <w:tcPr>
            <w:tcW w:type="dxa" w:w="2337"/>
            <w:tcMar>
              <w:top w:type="dxa" w:w="60"/>
              <w:left w:type="dxa" w:w="100"/>
              <w:bottom w:type="dxa" w:w="60"/>
              <w:right w:type="dxa" w:w="100"/>
            </w:tcMar>
          </w:tcPr>
          <w:p>
            <w:r>
              <w:rPr>
                <w:sz w:val="21"/>
                <w:szCs w:val="21"/>
              </w:rPr>
              <w:t xml:space="preserve">EXF-01</w:t>
            </w:r>
          </w:p>
        </w:tc>
        <w:tc>
          <w:tcPr>
            <w:tcW w:type="dxa" w:w="2337"/>
            <w:tcMar>
              <w:top w:type="dxa" w:w="60"/>
              <w:left w:type="dxa" w:w="100"/>
              <w:bottom w:type="dxa" w:w="60"/>
              <w:right w:type="dxa" w:w="100"/>
            </w:tcMar>
          </w:tcPr>
          <w:p>
            <w:r>
              <w:rPr>
                <w:sz w:val="21"/>
                <w:szCs w:val="21"/>
              </w:rPr>
              <w:t xml:space="preserve">Authentification SSO Keycloak</w:t>
            </w:r>
          </w:p>
        </w:tc>
        <w:tc>
          <w:tcPr>
            <w:tcW w:type="dxa" w:w="2337"/>
            <w:tcMar>
              <w:top w:type="dxa" w:w="60"/>
              <w:left w:type="dxa" w:w="100"/>
              <w:bottom w:type="dxa" w:w="60"/>
              <w:right w:type="dxa" w:w="100"/>
            </w:tcMar>
          </w:tcPr>
          <w:p>
            <w:r>
              <w:rPr>
                <w:sz w:val="21"/>
                <w:szCs w:val="21"/>
              </w:rPr>
              <w:t xml:space="preserve">HAUTE</w:t>
            </w:r>
          </w:p>
        </w:tc>
        <w:tc>
          <w:tcPr>
            <w:tcW w:type="dxa" w:w="2337"/>
            <w:tcMar>
              <w:top w:type="dxa" w:w="60"/>
              <w:left w:type="dxa" w:w="100"/>
              <w:bottom w:type="dxa" w:w="60"/>
              <w:right w:type="dxa" w:w="100"/>
            </w:tcMar>
          </w:tcPr>
          <w:p>
            <w:r>
              <w:rPr>
                <w:sz w:val="21"/>
                <w:szCs w:val="21"/>
              </w:rPr>
              <w:t xml:space="preserve">Connexion redirige vers Keycloak et revient avec une session valide</w:t>
            </w:r>
          </w:p>
        </w:tc>
      </w:tr>
      <w:tr>
        <w:trPr>
          <w:tblHeader w:val="false"/>
        </w:trPr>
        <w:tc>
          <w:tcPr>
            <w:tcW w:type="dxa" w:w="2337"/>
            <w:tcMar>
              <w:top w:type="dxa" w:w="60"/>
              <w:left w:type="dxa" w:w="100"/>
              <w:bottom w:type="dxa" w:w="60"/>
              <w:right w:type="dxa" w:w="100"/>
            </w:tcMar>
          </w:tcPr>
          <w:p>
            <w:r>
              <w:rPr>
                <w:sz w:val="21"/>
                <w:szCs w:val="21"/>
              </w:rPr>
              <w:t xml:space="preserve">EXF-02</w:t>
            </w:r>
          </w:p>
        </w:tc>
        <w:tc>
          <w:tcPr>
            <w:tcW w:type="dxa" w:w="2337"/>
            <w:tcMar>
              <w:top w:type="dxa" w:w="60"/>
              <w:left w:type="dxa" w:w="100"/>
              <w:bottom w:type="dxa" w:w="60"/>
              <w:right w:type="dxa" w:w="100"/>
            </w:tcMar>
          </w:tcPr>
          <w:p>
            <w:r>
              <w:rPr>
                <w:sz w:val="21"/>
                <w:szCs w:val="21"/>
              </w:rPr>
              <w:t xml:space="preserve">Rôles admin/standard</w:t>
            </w:r>
          </w:p>
        </w:tc>
        <w:tc>
          <w:tcPr>
            <w:tcW w:type="dxa" w:w="2337"/>
            <w:tcMar>
              <w:top w:type="dxa" w:w="60"/>
              <w:left w:type="dxa" w:w="100"/>
              <w:bottom w:type="dxa" w:w="60"/>
              <w:right w:type="dxa" w:w="100"/>
            </w:tcMar>
          </w:tcPr>
          <w:p>
            <w:r>
              <w:rPr>
                <w:sz w:val="21"/>
                <w:szCs w:val="21"/>
              </w:rPr>
              <w:t xml:space="preserve">HAUTE</w:t>
            </w:r>
          </w:p>
        </w:tc>
        <w:tc>
          <w:tcPr>
            <w:tcW w:type="dxa" w:w="2337"/>
            <w:tcMar>
              <w:top w:type="dxa" w:w="60"/>
              <w:left w:type="dxa" w:w="100"/>
              <w:bottom w:type="dxa" w:w="60"/>
              <w:right w:type="dxa" w:w="100"/>
            </w:tcMar>
          </w:tcPr>
          <w:p>
            <w:r>
              <w:rPr>
                <w:sz w:val="21"/>
                <w:szCs w:val="21"/>
              </w:rPr>
              <w:t xml:space="preserve">Une route admin renvoie 403 pour un utilisateur sans groupe </w:t>
            </w:r>
            <w:r>
              <w:rPr>
                <w:rFonts w:ascii="Consolas" w:cs="Consolas" w:eastAsia="Consolas" w:hAnsi="Consolas"/>
                <w:color w:val="1f2937"/>
                <w:sz w:val="19"/>
                <w:szCs w:val="19"/>
              </w:rPr>
              <w:t xml:space="preserve">/admin</w:t>
            </w:r>
          </w:p>
        </w:tc>
      </w:tr>
      <w:tr>
        <w:trPr>
          <w:tblHeader w:val="false"/>
        </w:trPr>
        <w:tc>
          <w:tcPr>
            <w:tcW w:type="dxa" w:w="2337"/>
            <w:tcMar>
              <w:top w:type="dxa" w:w="60"/>
              <w:left w:type="dxa" w:w="100"/>
              <w:bottom w:type="dxa" w:w="60"/>
              <w:right w:type="dxa" w:w="100"/>
            </w:tcMar>
          </w:tcPr>
          <w:p>
            <w:r>
              <w:rPr>
                <w:sz w:val="21"/>
                <w:szCs w:val="21"/>
              </w:rPr>
              <w:t xml:space="preserve">EXF-03</w:t>
            </w:r>
          </w:p>
        </w:tc>
        <w:tc>
          <w:tcPr>
            <w:tcW w:type="dxa" w:w="2337"/>
            <w:tcMar>
              <w:top w:type="dxa" w:w="60"/>
              <w:left w:type="dxa" w:w="100"/>
              <w:bottom w:type="dxa" w:w="60"/>
              <w:right w:type="dxa" w:w="100"/>
            </w:tcMar>
          </w:tcPr>
          <w:p>
            <w:r>
              <w:rPr>
                <w:sz w:val="21"/>
                <w:szCs w:val="21"/>
              </w:rPr>
              <w:t xml:space="preserve">CRUD Annonces</w:t>
            </w:r>
          </w:p>
        </w:tc>
        <w:tc>
          <w:tcPr>
            <w:tcW w:type="dxa" w:w="2337"/>
            <w:tcMar>
              <w:top w:type="dxa" w:w="60"/>
              <w:left w:type="dxa" w:w="100"/>
              <w:bottom w:type="dxa" w:w="60"/>
              <w:right w:type="dxa" w:w="100"/>
            </w:tcMar>
          </w:tcPr>
          <w:p>
            <w:r>
              <w:rPr>
                <w:sz w:val="21"/>
                <w:szCs w:val="21"/>
              </w:rPr>
              <w:t xml:space="preserve">HAUTE</w:t>
            </w:r>
          </w:p>
        </w:tc>
        <w:tc>
          <w:tcPr>
            <w:tcW w:type="dxa" w:w="2337"/>
            <w:tcMar>
              <w:top w:type="dxa" w:w="60"/>
              <w:left w:type="dxa" w:w="100"/>
              <w:bottom w:type="dxa" w:w="60"/>
              <w:right w:type="dxa" w:w="100"/>
            </w:tcMar>
          </w:tcPr>
          <w:p>
            <w:r>
              <w:rPr>
                <w:sz w:val="21"/>
                <w:szCs w:val="21"/>
              </w:rPr>
              <w:t xml:space="preserve">Un admin peut créer/modifier/supprimer une annonce, visible par tous</w:t>
            </w:r>
          </w:p>
        </w:tc>
      </w:tr>
      <w:tr>
        <w:trPr>
          <w:tblHeader w:val="false"/>
        </w:trPr>
        <w:tc>
          <w:tcPr>
            <w:tcW w:type="dxa" w:w="2337"/>
            <w:tcMar>
              <w:top w:type="dxa" w:w="60"/>
              <w:left w:type="dxa" w:w="100"/>
              <w:bottom w:type="dxa" w:w="60"/>
              <w:right w:type="dxa" w:w="100"/>
            </w:tcMar>
          </w:tcPr>
          <w:p>
            <w:r>
              <w:rPr>
                <w:sz w:val="21"/>
                <w:szCs w:val="21"/>
              </w:rPr>
              <w:t xml:space="preserve">EXF-04</w:t>
            </w:r>
          </w:p>
        </w:tc>
        <w:tc>
          <w:tcPr>
            <w:tcW w:type="dxa" w:w="2337"/>
            <w:tcMar>
              <w:top w:type="dxa" w:w="60"/>
              <w:left w:type="dxa" w:w="100"/>
              <w:bottom w:type="dxa" w:w="60"/>
              <w:right w:type="dxa" w:w="100"/>
            </w:tcMar>
          </w:tcPr>
          <w:p>
            <w:r>
              <w:rPr>
                <w:sz w:val="21"/>
                <w:szCs w:val="21"/>
              </w:rPr>
              <w:t xml:space="preserve">Épinglage des annonces</w:t>
            </w:r>
          </w:p>
        </w:tc>
        <w:tc>
          <w:tcPr>
            <w:tcW w:type="dxa" w:w="2337"/>
            <w:tcMar>
              <w:top w:type="dxa" w:w="60"/>
              <w:left w:type="dxa" w:w="100"/>
              <w:bottom w:type="dxa" w:w="60"/>
              <w:right w:type="dxa" w:w="100"/>
            </w:tcMar>
          </w:tcPr>
          <w:p>
            <w:r>
              <w:rPr>
                <w:sz w:val="21"/>
                <w:szCs w:val="21"/>
              </w:rPr>
              <w:t xml:space="preserve">MOYENNE</w:t>
            </w:r>
          </w:p>
        </w:tc>
        <w:tc>
          <w:tcPr>
            <w:tcW w:type="dxa" w:w="2337"/>
            <w:tcMar>
              <w:top w:type="dxa" w:w="60"/>
              <w:left w:type="dxa" w:w="100"/>
              <w:bottom w:type="dxa" w:w="60"/>
              <w:right w:type="dxa" w:w="100"/>
            </w:tcMar>
          </w:tcPr>
          <w:p>
            <w:r>
              <w:rPr>
                <w:sz w:val="21"/>
                <w:szCs w:val="21"/>
              </w:rPr>
              <w:t xml:space="preserve">Une annonce épinglée apparaît en tête de liste</w:t>
            </w:r>
          </w:p>
        </w:tc>
      </w:tr>
      <w:tr>
        <w:trPr>
          <w:tblHeader w:val="false"/>
        </w:trPr>
        <w:tc>
          <w:tcPr>
            <w:tcW w:type="dxa" w:w="2337"/>
            <w:tcMar>
              <w:top w:type="dxa" w:w="60"/>
              <w:left w:type="dxa" w:w="100"/>
              <w:bottom w:type="dxa" w:w="60"/>
              <w:right w:type="dxa" w:w="100"/>
            </w:tcMar>
          </w:tcPr>
          <w:p>
            <w:r>
              <w:rPr>
                <w:sz w:val="21"/>
                <w:szCs w:val="21"/>
              </w:rPr>
              <w:t xml:space="preserve">EXF-05</w:t>
            </w:r>
          </w:p>
        </w:tc>
        <w:tc>
          <w:tcPr>
            <w:tcW w:type="dxa" w:w="2337"/>
            <w:tcMar>
              <w:top w:type="dxa" w:w="60"/>
              <w:left w:type="dxa" w:w="100"/>
              <w:bottom w:type="dxa" w:w="60"/>
              <w:right w:type="dxa" w:w="100"/>
            </w:tcMar>
          </w:tcPr>
          <w:p>
            <w:r>
              <w:rPr>
                <w:sz w:val="21"/>
                <w:szCs w:val="21"/>
              </w:rPr>
              <w:t xml:space="preserve">Upload de fichier validé</w:t>
            </w:r>
          </w:p>
        </w:tc>
        <w:tc>
          <w:tcPr>
            <w:tcW w:type="dxa" w:w="2337"/>
            <w:tcMar>
              <w:top w:type="dxa" w:w="60"/>
              <w:left w:type="dxa" w:w="100"/>
              <w:bottom w:type="dxa" w:w="60"/>
              <w:right w:type="dxa" w:w="100"/>
            </w:tcMar>
          </w:tcPr>
          <w:p>
            <w:r>
              <w:rPr>
                <w:sz w:val="21"/>
                <w:szCs w:val="21"/>
              </w:rPr>
              <w:t xml:space="preserve">HAUTE</w:t>
            </w:r>
          </w:p>
        </w:tc>
        <w:tc>
          <w:tcPr>
            <w:tcW w:type="dxa" w:w="2337"/>
            <w:tcMar>
              <w:top w:type="dxa" w:w="60"/>
              <w:left w:type="dxa" w:w="100"/>
              <w:bottom w:type="dxa" w:w="60"/>
              <w:right w:type="dxa" w:w="100"/>
            </w:tcMar>
          </w:tcPr>
          <w:p>
            <w:r>
              <w:rPr>
                <w:sz w:val="21"/>
                <w:szCs w:val="21"/>
              </w:rPr>
              <w:t xml:space="preserve">Un fichier hors liste blanche (type/extension/taille) est rejeté (400)</w:t>
            </w:r>
          </w:p>
        </w:tc>
      </w:tr>
      <w:tr>
        <w:trPr>
          <w:tblHeader w:val="false"/>
        </w:trPr>
        <w:tc>
          <w:tcPr>
            <w:tcW w:type="dxa" w:w="2337"/>
            <w:tcMar>
              <w:top w:type="dxa" w:w="60"/>
              <w:left w:type="dxa" w:w="100"/>
              <w:bottom w:type="dxa" w:w="60"/>
              <w:right w:type="dxa" w:w="100"/>
            </w:tcMar>
          </w:tcPr>
          <w:p>
            <w:r>
              <w:rPr>
                <w:sz w:val="21"/>
                <w:szCs w:val="21"/>
              </w:rPr>
              <w:t xml:space="preserve">EXF-06</w:t>
            </w:r>
          </w:p>
        </w:tc>
        <w:tc>
          <w:tcPr>
            <w:tcW w:type="dxa" w:w="2337"/>
            <w:tcMar>
              <w:top w:type="dxa" w:w="60"/>
              <w:left w:type="dxa" w:w="100"/>
              <w:bottom w:type="dxa" w:w="60"/>
              <w:right w:type="dxa" w:w="100"/>
            </w:tcMar>
          </w:tcPr>
          <w:p>
            <w:r>
              <w:rPr>
                <w:sz w:val="21"/>
                <w:szCs w:val="21"/>
              </w:rPr>
              <w:t xml:space="preserve">Téléchargement sécurisé</w:t>
            </w:r>
          </w:p>
        </w:tc>
        <w:tc>
          <w:tcPr>
            <w:tcW w:type="dxa" w:w="2337"/>
            <w:tcMar>
              <w:top w:type="dxa" w:w="60"/>
              <w:left w:type="dxa" w:w="100"/>
              <w:bottom w:type="dxa" w:w="60"/>
              <w:right w:type="dxa" w:w="100"/>
            </w:tcMar>
          </w:tcPr>
          <w:p>
            <w:r>
              <w:rPr>
                <w:sz w:val="21"/>
                <w:szCs w:val="21"/>
              </w:rPr>
              <w:t xml:space="preserve">HAUTE</w:t>
            </w:r>
          </w:p>
        </w:tc>
        <w:tc>
          <w:tcPr>
            <w:tcW w:type="dxa" w:w="2337"/>
            <w:tcMar>
              <w:top w:type="dxa" w:w="60"/>
              <w:left w:type="dxa" w:w="100"/>
              <w:bottom w:type="dxa" w:w="60"/>
              <w:right w:type="dxa" w:w="100"/>
            </w:tcMar>
          </w:tcPr>
          <w:p>
            <w:r>
              <w:rPr>
                <w:sz w:val="21"/>
                <w:szCs w:val="21"/>
              </w:rPr>
              <w:t xml:space="preserve">Le téléchargement d'un fichier d'autrui par un non-admin renvoie 403</w:t>
            </w:r>
          </w:p>
        </w:tc>
      </w:tr>
      <w:tr>
        <w:trPr>
          <w:tblHeader w:val="false"/>
        </w:trPr>
        <w:tc>
          <w:tcPr>
            <w:tcW w:type="dxa" w:w="2337"/>
            <w:tcMar>
              <w:top w:type="dxa" w:w="60"/>
              <w:left w:type="dxa" w:w="100"/>
              <w:bottom w:type="dxa" w:w="60"/>
              <w:right w:type="dxa" w:w="100"/>
            </w:tcMar>
          </w:tcPr>
          <w:p>
            <w:r>
              <w:rPr>
                <w:sz w:val="21"/>
                <w:szCs w:val="21"/>
              </w:rPr>
              <w:t xml:space="preserve">EXF-07</w:t>
            </w:r>
          </w:p>
        </w:tc>
        <w:tc>
          <w:tcPr>
            <w:tcW w:type="dxa" w:w="2337"/>
            <w:tcMar>
              <w:top w:type="dxa" w:w="60"/>
              <w:left w:type="dxa" w:w="100"/>
              <w:bottom w:type="dxa" w:w="60"/>
              <w:right w:type="dxa" w:w="100"/>
            </w:tcMar>
          </w:tcPr>
          <w:p>
            <w:r>
              <w:rPr>
                <w:sz w:val="21"/>
                <w:szCs w:val="21"/>
              </w:rPr>
              <w:t xml:space="preserve">Suppression de fichier</w:t>
            </w:r>
          </w:p>
        </w:tc>
        <w:tc>
          <w:tcPr>
            <w:tcW w:type="dxa" w:w="2337"/>
            <w:tcMar>
              <w:top w:type="dxa" w:w="60"/>
              <w:left w:type="dxa" w:w="100"/>
              <w:bottom w:type="dxa" w:w="60"/>
              <w:right w:type="dxa" w:w="100"/>
            </w:tcMar>
          </w:tcPr>
          <w:p>
            <w:r>
              <w:rPr>
                <w:sz w:val="21"/>
                <w:szCs w:val="21"/>
              </w:rPr>
              <w:t xml:space="preserve">MOYENNE</w:t>
            </w:r>
          </w:p>
        </w:tc>
        <w:tc>
          <w:tcPr>
            <w:tcW w:type="dxa" w:w="2337"/>
            <w:tcMar>
              <w:top w:type="dxa" w:w="60"/>
              <w:left w:type="dxa" w:w="100"/>
              <w:bottom w:type="dxa" w:w="60"/>
              <w:right w:type="dxa" w:w="100"/>
            </w:tcMar>
          </w:tcPr>
          <w:p>
            <w:r>
              <w:rPr>
                <w:sz w:val="21"/>
                <w:szCs w:val="21"/>
              </w:rPr>
              <w:t xml:space="preserve">Le propriétaire ou un admin peut supprimer, les autres sont refusés</w:t>
            </w:r>
          </w:p>
        </w:tc>
      </w:tr>
      <w:tr>
        <w:trPr>
          <w:tblHeader w:val="false"/>
        </w:trPr>
        <w:tc>
          <w:tcPr>
            <w:tcW w:type="dxa" w:w="2337"/>
            <w:tcMar>
              <w:top w:type="dxa" w:w="60"/>
              <w:left w:type="dxa" w:w="100"/>
              <w:bottom w:type="dxa" w:w="60"/>
              <w:right w:type="dxa" w:w="100"/>
            </w:tcMar>
          </w:tcPr>
          <w:p>
            <w:r>
              <w:rPr>
                <w:sz w:val="21"/>
                <w:szCs w:val="21"/>
              </w:rPr>
              <w:t xml:space="preserve">EXF-08</w:t>
            </w:r>
          </w:p>
        </w:tc>
        <w:tc>
          <w:tcPr>
            <w:tcW w:type="dxa" w:w="2337"/>
            <w:tcMar>
              <w:top w:type="dxa" w:w="60"/>
              <w:left w:type="dxa" w:w="100"/>
              <w:bottom w:type="dxa" w:w="60"/>
              <w:right w:type="dxa" w:w="100"/>
            </w:tcMar>
          </w:tcPr>
          <w:p>
            <w:r>
              <w:rPr>
                <w:sz w:val="21"/>
                <w:szCs w:val="21"/>
              </w:rPr>
              <w:t xml:space="preserve">Listing des fichiers</w:t>
            </w:r>
          </w:p>
        </w:tc>
        <w:tc>
          <w:tcPr>
            <w:tcW w:type="dxa" w:w="2337"/>
            <w:tcMar>
              <w:top w:type="dxa" w:w="60"/>
              <w:left w:type="dxa" w:w="100"/>
              <w:bottom w:type="dxa" w:w="60"/>
              <w:right w:type="dxa" w:w="100"/>
            </w:tcMar>
          </w:tcPr>
          <w:p>
            <w:r>
              <w:rPr>
                <w:sz w:val="21"/>
                <w:szCs w:val="21"/>
              </w:rPr>
              <w:t xml:space="preserve">MOYENNE</w:t>
            </w:r>
          </w:p>
        </w:tc>
        <w:tc>
          <w:tcPr>
            <w:tcW w:type="dxa" w:w="2337"/>
            <w:tcMar>
              <w:top w:type="dxa" w:w="60"/>
              <w:left w:type="dxa" w:w="100"/>
              <w:bottom w:type="dxa" w:w="60"/>
              <w:right w:type="dxa" w:w="100"/>
            </w:tcMar>
          </w:tcPr>
          <w:p>
            <w:r>
              <w:rPr>
                <w:sz w:val="21"/>
                <w:szCs w:val="21"/>
              </w:rPr>
              <w:t xml:space="preserve">La liste renvoie les métadonnées (nom, taille, date) sans exposer le chemin disque</w:t>
            </w:r>
          </w:p>
        </w:tc>
      </w:tr>
      <w:tr>
        <w:trPr>
          <w:tblHeader w:val="false"/>
        </w:trPr>
        <w:tc>
          <w:tcPr>
            <w:tcW w:type="dxa" w:w="2337"/>
            <w:tcMar>
              <w:top w:type="dxa" w:w="60"/>
              <w:left w:type="dxa" w:w="100"/>
              <w:bottom w:type="dxa" w:w="60"/>
              <w:right w:type="dxa" w:w="100"/>
            </w:tcMar>
          </w:tcPr>
          <w:p>
            <w:r>
              <w:rPr>
                <w:sz w:val="21"/>
                <w:szCs w:val="21"/>
              </w:rPr>
              <w:t xml:space="preserve">EXF-09</w:t>
            </w:r>
          </w:p>
        </w:tc>
        <w:tc>
          <w:tcPr>
            <w:tcW w:type="dxa" w:w="2337"/>
            <w:tcMar>
              <w:top w:type="dxa" w:w="60"/>
              <w:left w:type="dxa" w:w="100"/>
              <w:bottom w:type="dxa" w:w="60"/>
              <w:right w:type="dxa" w:w="100"/>
            </w:tcMar>
          </w:tcPr>
          <w:p>
            <w:r>
              <w:rPr>
                <w:sz w:val="21"/>
                <w:szCs w:val="21"/>
              </w:rPr>
              <w:t xml:space="preserve">Création d'événements</w:t>
            </w:r>
          </w:p>
        </w:tc>
        <w:tc>
          <w:tcPr>
            <w:tcW w:type="dxa" w:w="2337"/>
            <w:tcMar>
              <w:top w:type="dxa" w:w="60"/>
              <w:left w:type="dxa" w:w="100"/>
              <w:bottom w:type="dxa" w:w="60"/>
              <w:right w:type="dxa" w:w="100"/>
            </w:tcMar>
          </w:tcPr>
          <w:p>
            <w:r>
              <w:rPr>
                <w:sz w:val="21"/>
                <w:szCs w:val="21"/>
              </w:rPr>
              <w:t xml:space="preserve">MOYENNE</w:t>
            </w:r>
          </w:p>
        </w:tc>
        <w:tc>
          <w:tcPr>
            <w:tcW w:type="dxa" w:w="2337"/>
            <w:tcMar>
              <w:top w:type="dxa" w:w="60"/>
              <w:left w:type="dxa" w:w="100"/>
              <w:bottom w:type="dxa" w:w="60"/>
              <w:right w:type="dxa" w:w="100"/>
            </w:tcMar>
          </w:tcPr>
          <w:p>
            <w:r>
              <w:rPr>
                <w:sz w:val="21"/>
                <w:szCs w:val="21"/>
              </w:rPr>
              <w:t xml:space="preserve">Un admin peut créer un événement avec dates de début/fin cohérentes</w:t>
            </w:r>
          </w:p>
        </w:tc>
      </w:tr>
      <w:tr>
        <w:trPr>
          <w:tblHeader w:val="false"/>
        </w:trPr>
        <w:tc>
          <w:tcPr>
            <w:tcW w:type="dxa" w:w="2337"/>
            <w:tcMar>
              <w:top w:type="dxa" w:w="60"/>
              <w:left w:type="dxa" w:w="100"/>
              <w:bottom w:type="dxa" w:w="60"/>
              <w:right w:type="dxa" w:w="100"/>
            </w:tcMar>
          </w:tcPr>
          <w:p>
            <w:r>
              <w:rPr>
                <w:sz w:val="21"/>
                <w:szCs w:val="21"/>
              </w:rPr>
              <w:t xml:space="preserve">EXF-10</w:t>
            </w:r>
          </w:p>
        </w:tc>
        <w:tc>
          <w:tcPr>
            <w:tcW w:type="dxa" w:w="2337"/>
            <w:tcMar>
              <w:top w:type="dxa" w:w="60"/>
              <w:left w:type="dxa" w:w="100"/>
              <w:bottom w:type="dxa" w:w="60"/>
              <w:right w:type="dxa" w:w="100"/>
            </w:tcMar>
          </w:tcPr>
          <w:p>
            <w:r>
              <w:rPr>
                <w:sz w:val="21"/>
                <w:szCs w:val="21"/>
              </w:rPr>
              <w:t xml:space="preserve">Suppression d'événements</w:t>
            </w:r>
          </w:p>
        </w:tc>
        <w:tc>
          <w:tcPr>
            <w:tcW w:type="dxa" w:w="2337"/>
            <w:tcMar>
              <w:top w:type="dxa" w:w="60"/>
              <w:left w:type="dxa" w:w="100"/>
              <w:bottom w:type="dxa" w:w="60"/>
              <w:right w:type="dxa" w:w="100"/>
            </w:tcMar>
          </w:tcPr>
          <w:p>
            <w:r>
              <w:rPr>
                <w:sz w:val="21"/>
                <w:szCs w:val="21"/>
              </w:rPr>
              <w:t xml:space="preserve">BASSE</w:t>
            </w:r>
          </w:p>
        </w:tc>
        <w:tc>
          <w:tcPr>
            <w:tcW w:type="dxa" w:w="2337"/>
            <w:tcMar>
              <w:top w:type="dxa" w:w="60"/>
              <w:left w:type="dxa" w:w="100"/>
              <w:bottom w:type="dxa" w:w="60"/>
              <w:right w:type="dxa" w:w="100"/>
            </w:tcMar>
          </w:tcPr>
          <w:p>
            <w:r>
              <w:rPr>
                <w:sz w:val="21"/>
                <w:szCs w:val="21"/>
              </w:rPr>
              <w:t xml:space="preserve">Un admin peut supprimer un événement existant</w:t>
            </w:r>
          </w:p>
        </w:tc>
      </w:tr>
      <w:tr>
        <w:trPr>
          <w:tblHeader w:val="false"/>
        </w:trPr>
        <w:tc>
          <w:tcPr>
            <w:tcW w:type="dxa" w:w="2337"/>
            <w:tcMar>
              <w:top w:type="dxa" w:w="60"/>
              <w:left w:type="dxa" w:w="100"/>
              <w:bottom w:type="dxa" w:w="60"/>
              <w:right w:type="dxa" w:w="100"/>
            </w:tcMar>
          </w:tcPr>
          <w:p>
            <w:r>
              <w:rPr>
                <w:sz w:val="21"/>
                <w:szCs w:val="21"/>
              </w:rPr>
              <w:t xml:space="preserve">EXF-11</w:t>
            </w:r>
          </w:p>
        </w:tc>
        <w:tc>
          <w:tcPr>
            <w:tcW w:type="dxa" w:w="2337"/>
            <w:tcMar>
              <w:top w:type="dxa" w:w="60"/>
              <w:left w:type="dxa" w:w="100"/>
              <w:bottom w:type="dxa" w:w="60"/>
              <w:right w:type="dxa" w:w="100"/>
            </w:tcMar>
          </w:tcPr>
          <w:p>
            <w:r>
              <w:rPr>
                <w:sz w:val="21"/>
                <w:szCs w:val="21"/>
              </w:rPr>
              <w:t xml:space="preserve">Tableau de bord personnalisable</w:t>
            </w:r>
          </w:p>
        </w:tc>
        <w:tc>
          <w:tcPr>
            <w:tcW w:type="dxa" w:w="2337"/>
            <w:tcMar>
              <w:top w:type="dxa" w:w="60"/>
              <w:left w:type="dxa" w:w="100"/>
              <w:bottom w:type="dxa" w:w="60"/>
              <w:right w:type="dxa" w:w="100"/>
            </w:tcMar>
          </w:tcPr>
          <w:p>
            <w:r>
              <w:rPr>
                <w:sz w:val="21"/>
                <w:szCs w:val="21"/>
              </w:rPr>
              <w:t xml:space="preserve">MOYENNE</w:t>
            </w:r>
          </w:p>
        </w:tc>
        <w:tc>
          <w:tcPr>
            <w:tcW w:type="dxa" w:w="2337"/>
            <w:tcMar>
              <w:top w:type="dxa" w:w="60"/>
              <w:left w:type="dxa" w:w="100"/>
              <w:bottom w:type="dxa" w:w="60"/>
              <w:right w:type="dxa" w:w="100"/>
            </w:tcMar>
          </w:tcPr>
          <w:p>
            <w:r>
              <w:rPr>
                <w:sz w:val="21"/>
                <w:szCs w:val="21"/>
              </w:rPr>
              <w:t xml:space="preserve">Un admin peut ajouter/déplacer/supprimer un widget, persisté en base</w:t>
            </w:r>
          </w:p>
        </w:tc>
      </w:tr>
      <w:tr>
        <w:trPr>
          <w:tblHeader w:val="false"/>
        </w:trPr>
        <w:tc>
          <w:tcPr>
            <w:tcW w:type="dxa" w:w="2337"/>
            <w:tcMar>
              <w:top w:type="dxa" w:w="60"/>
              <w:left w:type="dxa" w:w="100"/>
              <w:bottom w:type="dxa" w:w="60"/>
              <w:right w:type="dxa" w:w="100"/>
            </w:tcMar>
          </w:tcPr>
          <w:p>
            <w:r>
              <w:rPr>
                <w:sz w:val="21"/>
                <w:szCs w:val="21"/>
              </w:rPr>
              <w:t xml:space="preserve">EXF-12</w:t>
            </w:r>
          </w:p>
        </w:tc>
        <w:tc>
          <w:tcPr>
            <w:tcW w:type="dxa" w:w="2337"/>
            <w:tcMar>
              <w:top w:type="dxa" w:w="60"/>
              <w:left w:type="dxa" w:w="100"/>
              <w:bottom w:type="dxa" w:w="60"/>
              <w:right w:type="dxa" w:w="100"/>
            </w:tcMar>
          </w:tcPr>
          <w:p>
            <w:r>
              <w:rPr>
                <w:sz w:val="21"/>
                <w:szCs w:val="21"/>
              </w:rPr>
              <w:t xml:space="preserve">Intégration Chat/Kanban</w:t>
            </w:r>
          </w:p>
        </w:tc>
        <w:tc>
          <w:tcPr>
            <w:tcW w:type="dxa" w:w="2337"/>
            <w:tcMar>
              <w:top w:type="dxa" w:w="60"/>
              <w:left w:type="dxa" w:w="100"/>
              <w:bottom w:type="dxa" w:w="60"/>
              <w:right w:type="dxa" w:w="100"/>
            </w:tcMar>
          </w:tcPr>
          <w:p>
            <w:r>
              <w:rPr>
                <w:sz w:val="21"/>
                <w:szCs w:val="21"/>
              </w:rPr>
              <w:t xml:space="preserve">HAUTE</w:t>
            </w:r>
          </w:p>
        </w:tc>
        <w:tc>
          <w:tcPr>
            <w:tcW w:type="dxa" w:w="2337"/>
            <w:tcMar>
              <w:top w:type="dxa" w:w="60"/>
              <w:left w:type="dxa" w:w="100"/>
              <w:bottom w:type="dxa" w:w="60"/>
              <w:right w:type="dxa" w:w="100"/>
            </w:tcMar>
          </w:tcPr>
          <w:p>
            <w:r>
              <w:rPr>
                <w:sz w:val="21"/>
                <w:szCs w:val="21"/>
              </w:rPr>
              <w:t xml:space="preserve">Les widgets iframe Mattermost s'affichent avec authentification partagée</w:t>
            </w:r>
          </w:p>
        </w:tc>
      </w:tr>
    </w:tbl>
    <w:p>
      <w:pPr>
        <w:spacing w:after="160"/>
      </w:pPr>
    </w:p>
    <w:p>
      <w:pPr>
        <w:pStyle w:val="Heading2"/>
        <w:spacing w:after="140" w:before="300"/>
      </w:pPr>
      <w:r>
        <w:t xml:space="preserve">Section 10 — Architecture générale (1/2 — logique)</w:t>
      </w:r>
    </w:p>
    <w:p>
      <w:pPr>
        <w:spacing w:after="120"/>
      </w:pPr>
      <w:r>
        <w:rPr>
          <w:sz w:val="21"/>
          <w:szCs w:val="21"/>
        </w:rPr>
        <w:t xml:space="preserve">Voir Bloc 1 — C3 (« Concevoir une architecture fiable ») pour le détail : architecture en 5 couches (présentation, contrôleur, service, accès données, infrastructure), séparation stricte des responsabilités.</w:t>
      </w:r>
    </w:p>
    <w:p>
      <w:pPr>
        <w:pStyle w:val="Heading2"/>
        <w:spacing w:after="140" w:before="300"/>
      </w:pPr>
      <w:r>
        <w:t xml:space="preserve">Section 11 — Contraintes de sécurité</w:t>
      </w:r>
    </w:p>
    <w:p>
      <w:pPr>
        <w:spacing w:after="120"/>
      </w:pPr>
      <w:r>
        <w:rPr>
          <w:sz w:val="21"/>
          <w:szCs w:val="21"/>
        </w:rPr>
        <w:t xml:space="preserve">Voir tableau OWASP Top 10 détaillé (Partie 4 — Grille de recette et risques). Contraintes principales : secrets hors code source (.env), requêtes paramétrées systématiques, réseau Docker interne, vérification de rôle à chaque route sensible, aucune fuite d'information dans les réponses d'erreur.</w:t>
      </w:r>
    </w:p>
    <w:p>
      <w:pPr>
        <w:pStyle w:val="Heading2"/>
        <w:spacing w:after="140" w:before="300"/>
      </w:pPr>
      <w:r>
        <w:t xml:space="preserve">Section 12 — Architecture générale (2/2 — infrastructure)</w:t>
      </w:r>
    </w:p>
    <w:p>
      <w:pPr>
        <w:spacing w:after="120"/>
      </w:pPr>
      <w:r>
        <w:rPr>
          <w:sz w:val="21"/>
          <w:szCs w:val="21"/>
        </w:rPr>
        <w:t xml:space="preserve">Architecture 3 tiers : </w:t>
      </w:r>
      <w:r>
        <w:rPr>
          <w:b/>
          <w:bCs/>
          <w:sz w:val="21"/>
          <w:szCs w:val="21"/>
        </w:rPr>
        <w:t xml:space="preserve">Caddy</w:t>
      </w:r>
      <w:r>
        <w:rPr>
          <w:sz w:val="21"/>
          <w:szCs w:val="21"/>
        </w:rPr>
        <w:t xml:space="preserve"> (présentation/proxy, seul point d'exposition publique), </w:t>
      </w:r>
      <w:r>
        <w:rPr>
          <w:b/>
          <w:bCs/>
          <w:sz w:val="21"/>
          <w:szCs w:val="21"/>
        </w:rPr>
        <w:t xml:space="preserve">Flask</w:t>
      </w:r>
      <w:r>
        <w:rPr>
          <w:sz w:val="21"/>
          <w:szCs w:val="21"/>
        </w:rPr>
        <w:t xml:space="preserve"> (métier/applicatif), </w:t>
      </w:r>
      <w:r>
        <w:rPr>
          <w:b/>
          <w:bCs/>
          <w:sz w:val="21"/>
          <w:szCs w:val="21"/>
        </w:rPr>
        <w:t xml:space="preserve">MariaDB + Keycloak</w:t>
      </w:r>
      <w:r>
        <w:rPr>
          <w:sz w:val="21"/>
          <w:szCs w:val="21"/>
        </w:rPr>
        <w:t xml:space="preserve"> (données/identité). Chaque service est isolé dans un conteneur Docker sur le réseau interne </w:t>
      </w:r>
      <w:r>
        <w:rPr>
          <w:rFonts w:ascii="Consolas" w:cs="Consolas" w:eastAsia="Consolas" w:hAnsi="Consolas"/>
          <w:color w:val="1f2937"/>
          <w:sz w:val="19"/>
          <w:szCs w:val="19"/>
        </w:rPr>
        <w:t xml:space="preserve">gesthub-net</w:t>
      </w:r>
      <w:r>
        <w:rPr>
          <w:sz w:val="21"/>
          <w:szCs w:val="21"/>
        </w:rPr>
        <w:t xml:space="preserve">.</w:t>
      </w:r>
    </w:p>
    <w:p>
      <w:pPr>
        <w:pStyle w:val="Heading2"/>
        <w:spacing w:after="140" w:before="300"/>
      </w:pPr>
      <w:r>
        <w:t xml:space="preserve">Section 13 — Modèle de données</w:t>
      </w:r>
    </w:p>
    <w:p>
      <w:pPr>
        <w:spacing w:after="120"/>
      </w:pPr>
      <w:r>
        <w:rPr>
          <w:sz w:val="21"/>
          <w:szCs w:val="21"/>
        </w:rPr>
        <w:t xml:space="preserve">5 tables en 3ème forme normale (voir </w:t>
      </w:r>
      <w:r>
        <w:rPr>
          <w:rFonts w:ascii="Consolas" w:cs="Consolas" w:eastAsia="Consolas" w:hAnsi="Consolas"/>
          <w:color w:val="1f2937"/>
          <w:sz w:val="19"/>
          <w:szCs w:val="19"/>
        </w:rPr>
        <w:t xml:space="preserve">web/init.sql</w:t>
      </w:r>
      <w:r>
        <w:rPr>
          <w:sz w:val="21"/>
          <w:szCs w:val="21"/>
        </w:rPr>
        <w:t xml:space="preserve">) : </w:t>
      </w:r>
      <w:r>
        <w:rPr>
          <w:rFonts w:ascii="Consolas" w:cs="Consolas" w:eastAsia="Consolas" w:hAnsi="Consolas"/>
          <w:color w:val="1f2937"/>
          <w:sz w:val="19"/>
          <w:szCs w:val="19"/>
        </w:rPr>
        <w:t xml:space="preserve">annonces</w:t>
      </w:r>
      <w:r>
        <w:rPr>
          <w:sz w:val="21"/>
          <w:szCs w:val="21"/>
        </w:rPr>
        <w:t xml:space="preserve">, </w:t>
      </w:r>
      <w:r>
        <w:rPr>
          <w:rFonts w:ascii="Consolas" w:cs="Consolas" w:eastAsia="Consolas" w:hAnsi="Consolas"/>
          <w:color w:val="1f2937"/>
          <w:sz w:val="19"/>
          <w:szCs w:val="19"/>
        </w:rPr>
        <w:t xml:space="preserve">fichiers</w:t>
      </w:r>
      <w:r>
        <w:rPr>
          <w:sz w:val="21"/>
          <w:szCs w:val="21"/>
        </w:rPr>
        <w:t xml:space="preserve">, </w:t>
      </w:r>
      <w:r>
        <w:rPr>
          <w:rFonts w:ascii="Consolas" w:cs="Consolas" w:eastAsia="Consolas" w:hAnsi="Consolas"/>
          <w:color w:val="1f2937"/>
          <w:sz w:val="19"/>
          <w:szCs w:val="19"/>
        </w:rPr>
        <w:t xml:space="preserve">evenements</w:t>
      </w:r>
      <w:r>
        <w:rPr>
          <w:sz w:val="21"/>
          <w:szCs w:val="21"/>
        </w:rPr>
        <w:t xml:space="preserve">, </w:t>
      </w:r>
      <w:r>
        <w:rPr>
          <w:rFonts w:ascii="Consolas" w:cs="Consolas" w:eastAsia="Consolas" w:hAnsi="Consolas"/>
          <w:color w:val="1f2937"/>
          <w:sz w:val="19"/>
          <w:szCs w:val="19"/>
        </w:rPr>
        <w:t xml:space="preserve">blocks</w:t>
      </w:r>
      <w:r>
        <w:rPr>
          <w:sz w:val="21"/>
          <w:szCs w:val="21"/>
        </w:rPr>
        <w:t xml:space="preserve">, </w:t>
      </w:r>
      <w:r>
        <w:rPr>
          <w:rFonts w:ascii="Consolas" w:cs="Consolas" w:eastAsia="Consolas" w:hAnsi="Consolas"/>
          <w:color w:val="1f2937"/>
          <w:sz w:val="19"/>
          <w:szCs w:val="19"/>
        </w:rPr>
        <w:t xml:space="preserve">audit_log</w:t>
      </w:r>
      <w:r>
        <w:rPr>
          <w:sz w:val="21"/>
          <w:szCs w:val="21"/>
        </w:rPr>
        <w:t xml:space="preserve">. Aucune duplication des données d'identité — la référence utilisateur se fait uniquement via le </w:t>
      </w:r>
      <w:r>
        <w:rPr>
          <w:rFonts w:ascii="Consolas" w:cs="Consolas" w:eastAsia="Consolas" w:hAnsi="Consolas"/>
          <w:color w:val="1f2937"/>
          <w:sz w:val="19"/>
          <w:szCs w:val="19"/>
        </w:rPr>
        <w:t xml:space="preserve">sub</w:t>
      </w:r>
      <w:r>
        <w:rPr>
          <w:sz w:val="21"/>
          <w:szCs w:val="21"/>
        </w:rPr>
        <w:t xml:space="preserve"> OIDC (chaîne opaque fournie par Keycloak).</w:t>
      </w:r>
    </w:p>
    <w:p>
      <w:pPr>
        <w:pStyle w:val="Heading2"/>
        <w:spacing w:after="140" w:before="300"/>
      </w:pPr>
      <w:r>
        <w:t xml:space="preserve">Section 14 — Exigences non fonctionnelles (EXNF)</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3116"/>
        <w:gridCol w:w="3116"/>
        <w:gridCol w:w="3116"/>
      </w:tblGrid>
      <w:tr>
        <w:trPr>
          <w:tblHeader/>
        </w:trPr>
        <w:tc>
          <w:tcPr>
            <w:tcW w:type="dxa" w:w="3116"/>
            <w:shd w:fill="1f2937" w:color="auto" w:val="clear"/>
            <w:tcMar>
              <w:top w:type="dxa" w:w="60"/>
              <w:left w:type="dxa" w:w="100"/>
              <w:bottom w:type="dxa" w:w="60"/>
              <w:right w:type="dxa" w:w="100"/>
            </w:tcMar>
          </w:tcPr>
          <w:p>
            <w:r>
              <w:rPr>
                <w:b/>
                <w:bCs/>
                <w:color w:val="FFFFFF"/>
                <w:sz w:val="19"/>
                <w:szCs w:val="19"/>
              </w:rPr>
              <w:t xml:space="preserve">ID</w:t>
            </w:r>
          </w:p>
        </w:tc>
        <w:tc>
          <w:tcPr>
            <w:tcW w:type="dxa" w:w="3116"/>
            <w:shd w:fill="1f2937" w:color="auto" w:val="clear"/>
            <w:tcMar>
              <w:top w:type="dxa" w:w="60"/>
              <w:left w:type="dxa" w:w="100"/>
              <w:bottom w:type="dxa" w:w="60"/>
              <w:right w:type="dxa" w:w="100"/>
            </w:tcMar>
          </w:tcPr>
          <w:p>
            <w:r>
              <w:rPr>
                <w:b/>
                <w:bCs/>
                <w:color w:val="FFFFFF"/>
                <w:sz w:val="19"/>
                <w:szCs w:val="19"/>
              </w:rPr>
              <w:t xml:space="preserve">Exigence</w:t>
            </w:r>
          </w:p>
        </w:tc>
        <w:tc>
          <w:tcPr>
            <w:tcW w:type="dxa" w:w="3116"/>
            <w:shd w:fill="1f2937" w:color="auto" w:val="clear"/>
            <w:tcMar>
              <w:top w:type="dxa" w:w="60"/>
              <w:left w:type="dxa" w:w="100"/>
              <w:bottom w:type="dxa" w:w="60"/>
              <w:right w:type="dxa" w:w="100"/>
            </w:tcMar>
          </w:tcPr>
          <w:p>
            <w:r>
              <w:rPr>
                <w:b/>
                <w:bCs/>
                <w:color w:val="FFFFFF"/>
                <w:sz w:val="19"/>
                <w:szCs w:val="19"/>
              </w:rPr>
              <w:t xml:space="preserve">Vérification</w:t>
            </w:r>
          </w:p>
        </w:tc>
      </w:tr>
      <w:tr>
        <w:trPr>
          <w:tblHeader w:val="false"/>
        </w:trPr>
        <w:tc>
          <w:tcPr>
            <w:tcW w:type="dxa" w:w="3116"/>
            <w:tcMar>
              <w:top w:type="dxa" w:w="60"/>
              <w:left w:type="dxa" w:w="100"/>
              <w:bottom w:type="dxa" w:w="60"/>
              <w:right w:type="dxa" w:w="100"/>
            </w:tcMar>
          </w:tcPr>
          <w:p>
            <w:r>
              <w:rPr>
                <w:sz w:val="21"/>
                <w:szCs w:val="21"/>
              </w:rPr>
              <w:t xml:space="preserve">EXNF-01</w:t>
            </w:r>
          </w:p>
        </w:tc>
        <w:tc>
          <w:tcPr>
            <w:tcW w:type="dxa" w:w="3116"/>
            <w:tcMar>
              <w:top w:type="dxa" w:w="60"/>
              <w:left w:type="dxa" w:w="100"/>
              <w:bottom w:type="dxa" w:w="60"/>
              <w:right w:type="dxa" w:w="100"/>
            </w:tcMar>
          </w:tcPr>
          <w:p>
            <w:r>
              <w:rPr>
                <w:sz w:val="21"/>
                <w:szCs w:val="21"/>
              </w:rPr>
              <w:t xml:space="preserve">Aucune injection SQL possible</w:t>
            </w:r>
          </w:p>
        </w:tc>
        <w:tc>
          <w:tcPr>
            <w:tcW w:type="dxa" w:w="3116"/>
            <w:tcMar>
              <w:top w:type="dxa" w:w="60"/>
              <w:left w:type="dxa" w:w="100"/>
              <w:bottom w:type="dxa" w:w="60"/>
              <w:right w:type="dxa" w:w="100"/>
            </w:tcMar>
          </w:tcPr>
          <w:p>
            <w:r>
              <w:rPr>
                <w:sz w:val="21"/>
                <w:szCs w:val="21"/>
              </w:rPr>
              <w:t xml:space="preserve">Test TS-01 (requêtes paramétrées)</w:t>
            </w:r>
          </w:p>
        </w:tc>
      </w:tr>
      <w:tr>
        <w:trPr>
          <w:tblHeader w:val="false"/>
        </w:trPr>
        <w:tc>
          <w:tcPr>
            <w:tcW w:type="dxa" w:w="3116"/>
            <w:tcMar>
              <w:top w:type="dxa" w:w="60"/>
              <w:left w:type="dxa" w:w="100"/>
              <w:bottom w:type="dxa" w:w="60"/>
              <w:right w:type="dxa" w:w="100"/>
            </w:tcMar>
          </w:tcPr>
          <w:p>
            <w:r>
              <w:rPr>
                <w:sz w:val="21"/>
                <w:szCs w:val="21"/>
              </w:rPr>
              <w:t xml:space="preserve">EXNF-02</w:t>
            </w:r>
          </w:p>
        </w:tc>
        <w:tc>
          <w:tcPr>
            <w:tcW w:type="dxa" w:w="3116"/>
            <w:tcMar>
              <w:top w:type="dxa" w:w="60"/>
              <w:left w:type="dxa" w:w="100"/>
              <w:bottom w:type="dxa" w:w="60"/>
              <w:right w:type="dxa" w:w="100"/>
            </w:tcMar>
          </w:tcPr>
          <w:p>
            <w:r>
              <w:rPr>
                <w:sz w:val="21"/>
                <w:szCs w:val="21"/>
              </w:rPr>
              <w:t xml:space="preserve">Secrets hors code source</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.env</w:t>
            </w:r>
            <w:r>
              <w:rPr>
                <w:sz w:val="21"/>
                <w:szCs w:val="21"/>
              </w:rPr>
              <w:t xml:space="preserve"> + </w:t>
            </w:r>
            <w:r>
              <w:rPr>
                <w:rFonts w:ascii="Consolas" w:cs="Consolas" w:eastAsia="Consolas" w:hAnsi="Consolas"/>
                <w:color w:val="1f2937"/>
                <w:sz w:val="19"/>
                <w:szCs w:val="19"/>
              </w:rPr>
              <w:t xml:space="preserve">.gitignore</w:t>
            </w:r>
            <w:r>
              <w:rPr>
                <w:sz w:val="21"/>
                <w:szCs w:val="21"/>
              </w:rPr>
              <w:t xml:space="preserve">, </w:t>
            </w:r>
            <w:r>
              <w:rPr>
                <w:rFonts w:ascii="Consolas" w:cs="Consolas" w:eastAsia="Consolas" w:hAnsi="Consolas"/>
                <w:color w:val="1f2937"/>
                <w:sz w:val="19"/>
                <w:szCs w:val="19"/>
              </w:rPr>
              <w:t xml:space="preserve">config.py</w:t>
            </w:r>
            <w:r>
              <w:rPr>
                <w:sz w:val="21"/>
                <w:szCs w:val="21"/>
              </w:rPr>
              <w:t xml:space="preserve"> lit </w:t>
            </w:r>
            <w:r>
              <w:rPr>
                <w:rFonts w:ascii="Consolas" w:cs="Consolas" w:eastAsia="Consolas" w:hAnsi="Consolas"/>
                <w:color w:val="1f2937"/>
                <w:sz w:val="19"/>
                <w:szCs w:val="19"/>
              </w:rPr>
              <w:t xml:space="preserve">os.environ</w:t>
            </w:r>
          </w:p>
        </w:tc>
      </w:tr>
      <w:tr>
        <w:trPr>
          <w:tblHeader w:val="false"/>
        </w:trPr>
        <w:tc>
          <w:tcPr>
            <w:tcW w:type="dxa" w:w="3116"/>
            <w:tcMar>
              <w:top w:type="dxa" w:w="60"/>
              <w:left w:type="dxa" w:w="100"/>
              <w:bottom w:type="dxa" w:w="60"/>
              <w:right w:type="dxa" w:w="100"/>
            </w:tcMar>
          </w:tcPr>
          <w:p>
            <w:r>
              <w:rPr>
                <w:sz w:val="21"/>
                <w:szCs w:val="21"/>
              </w:rPr>
              <w:t xml:space="preserve">EXNF-03</w:t>
            </w:r>
          </w:p>
        </w:tc>
        <w:tc>
          <w:tcPr>
            <w:tcW w:type="dxa" w:w="3116"/>
            <w:tcMar>
              <w:top w:type="dxa" w:w="60"/>
              <w:left w:type="dxa" w:w="100"/>
              <w:bottom w:type="dxa" w:w="60"/>
              <w:right w:type="dxa" w:w="100"/>
            </w:tcMar>
          </w:tcPr>
          <w:p>
            <w:r>
              <w:rPr>
                <w:sz w:val="21"/>
                <w:szCs w:val="21"/>
              </w:rPr>
              <w:t xml:space="preserve">Disponibilité du service</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restart: unless-stopped</w:t>
            </w:r>
            <w:r>
              <w:rPr>
                <w:sz w:val="21"/>
                <w:szCs w:val="21"/>
              </w:rPr>
              <w:t xml:space="preserve">, healthcheck MariaDB</w:t>
            </w:r>
          </w:p>
        </w:tc>
      </w:tr>
      <w:tr>
        <w:trPr>
          <w:tblHeader w:val="false"/>
        </w:trPr>
        <w:tc>
          <w:tcPr>
            <w:tcW w:type="dxa" w:w="3116"/>
            <w:tcMar>
              <w:top w:type="dxa" w:w="60"/>
              <w:left w:type="dxa" w:w="100"/>
              <w:bottom w:type="dxa" w:w="60"/>
              <w:right w:type="dxa" w:w="100"/>
            </w:tcMar>
          </w:tcPr>
          <w:p>
            <w:r>
              <w:rPr>
                <w:sz w:val="21"/>
                <w:szCs w:val="21"/>
              </w:rPr>
              <w:t xml:space="preserve">EXNF-04</w:t>
            </w:r>
          </w:p>
        </w:tc>
        <w:tc>
          <w:tcPr>
            <w:tcW w:type="dxa" w:w="3116"/>
            <w:tcMar>
              <w:top w:type="dxa" w:w="60"/>
              <w:left w:type="dxa" w:w="100"/>
              <w:bottom w:type="dxa" w:w="60"/>
              <w:right w:type="dxa" w:w="100"/>
            </w:tcMar>
          </w:tcPr>
          <w:p>
            <w:r>
              <w:rPr>
                <w:sz w:val="21"/>
                <w:szCs w:val="21"/>
              </w:rPr>
              <w:t xml:space="preserve">Tenue en charge</w:t>
            </w:r>
          </w:p>
        </w:tc>
        <w:tc>
          <w:tcPr>
            <w:tcW w:type="dxa" w:w="3116"/>
            <w:tcMar>
              <w:top w:type="dxa" w:w="60"/>
              <w:left w:type="dxa" w:w="100"/>
              <w:bottom w:type="dxa" w:w="60"/>
              <w:right w:type="dxa" w:w="100"/>
            </w:tcMar>
          </w:tcPr>
          <w:p>
            <w:r>
              <w:rPr>
                <w:sz w:val="21"/>
                <w:szCs w:val="21"/>
              </w:rPr>
              <w:t xml:space="preserve">Gunicorn 4 workers (formule 2×CPU+1)</w:t>
            </w:r>
          </w:p>
        </w:tc>
      </w:tr>
      <w:tr>
        <w:trPr>
          <w:tblHeader w:val="false"/>
        </w:trPr>
        <w:tc>
          <w:tcPr>
            <w:tcW w:type="dxa" w:w="3116"/>
            <w:tcMar>
              <w:top w:type="dxa" w:w="60"/>
              <w:left w:type="dxa" w:w="100"/>
              <w:bottom w:type="dxa" w:w="60"/>
              <w:right w:type="dxa" w:w="100"/>
            </w:tcMar>
          </w:tcPr>
          <w:p>
            <w:r>
              <w:rPr>
                <w:sz w:val="21"/>
                <w:szCs w:val="21"/>
              </w:rPr>
              <w:t xml:space="preserve">EXNF-05</w:t>
            </w:r>
          </w:p>
        </w:tc>
        <w:tc>
          <w:tcPr>
            <w:tcW w:type="dxa" w:w="3116"/>
            <w:tcMar>
              <w:top w:type="dxa" w:w="60"/>
              <w:left w:type="dxa" w:w="100"/>
              <w:bottom w:type="dxa" w:w="60"/>
              <w:right w:type="dxa" w:w="100"/>
            </w:tcMar>
          </w:tcPr>
          <w:p>
            <w:r>
              <w:rPr>
                <w:sz w:val="21"/>
                <w:szCs w:val="21"/>
              </w:rPr>
              <w:t xml:space="preserve">Accessibilité de base (RGAA)</w:t>
            </w:r>
          </w:p>
        </w:tc>
        <w:tc>
          <w:tcPr>
            <w:tcW w:type="dxa" w:w="3116"/>
            <w:tcMar>
              <w:top w:type="dxa" w:w="60"/>
              <w:left w:type="dxa" w:w="100"/>
              <w:bottom w:type="dxa" w:w="60"/>
              <w:right w:type="dxa" w:w="100"/>
            </w:tcMar>
          </w:tcPr>
          <w:p>
            <w:r>
              <w:rPr>
                <w:sz w:val="21"/>
                <w:szCs w:val="21"/>
              </w:rPr>
              <w:t xml:space="preserve">Attributs alt/aria-label, HTML sémantique</w:t>
            </w:r>
          </w:p>
        </w:tc>
      </w:tr>
      <w:tr>
        <w:trPr>
          <w:tblHeader w:val="false"/>
        </w:trPr>
        <w:tc>
          <w:tcPr>
            <w:tcW w:type="dxa" w:w="3116"/>
            <w:tcMar>
              <w:top w:type="dxa" w:w="60"/>
              <w:left w:type="dxa" w:w="100"/>
              <w:bottom w:type="dxa" w:w="60"/>
              <w:right w:type="dxa" w:w="100"/>
            </w:tcMar>
          </w:tcPr>
          <w:p>
            <w:r>
              <w:rPr>
                <w:sz w:val="21"/>
                <w:szCs w:val="21"/>
              </w:rPr>
              <w:t xml:space="preserve">EXNF-06</w:t>
            </w:r>
          </w:p>
        </w:tc>
        <w:tc>
          <w:tcPr>
            <w:tcW w:type="dxa" w:w="3116"/>
            <w:tcMar>
              <w:top w:type="dxa" w:w="60"/>
              <w:left w:type="dxa" w:w="100"/>
              <w:bottom w:type="dxa" w:w="60"/>
              <w:right w:type="dxa" w:w="100"/>
            </w:tcMar>
          </w:tcPr>
          <w:p>
            <w:r>
              <w:rPr>
                <w:sz w:val="21"/>
                <w:szCs w:val="21"/>
              </w:rPr>
              <w:t xml:space="preserve">Traçabilité des actions sensibles</w:t>
            </w:r>
          </w:p>
        </w:tc>
        <w:tc>
          <w:tcPr>
            <w:tcW w:type="dxa" w:w="3116"/>
            <w:tcMar>
              <w:top w:type="dxa" w:w="60"/>
              <w:left w:type="dxa" w:w="100"/>
              <w:bottom w:type="dxa" w:w="60"/>
              <w:right w:type="dxa" w:w="100"/>
            </w:tcMar>
          </w:tcPr>
          <w:p>
            <w:r>
              <w:rPr>
                <w:sz w:val="21"/>
                <w:szCs w:val="21"/>
              </w:rPr>
              <w:t xml:space="preserve">Table </w:t>
            </w:r>
            <w:r>
              <w:rPr>
                <w:rFonts w:ascii="Consolas" w:cs="Consolas" w:eastAsia="Consolas" w:hAnsi="Consolas"/>
                <w:color w:val="1f2937"/>
                <w:sz w:val="19"/>
                <w:szCs w:val="19"/>
              </w:rPr>
              <w:t xml:space="preserve">audit_log</w:t>
            </w:r>
            <w:r>
              <w:rPr>
                <w:sz w:val="21"/>
                <w:szCs w:val="21"/>
              </w:rPr>
              <w:t xml:space="preserve">, alimentée par tous les services</w:t>
            </w:r>
          </w:p>
        </w:tc>
      </w:tr>
      <w:tr>
        <w:trPr>
          <w:tblHeader w:val="false"/>
        </w:trPr>
        <w:tc>
          <w:tcPr>
            <w:tcW w:type="dxa" w:w="3116"/>
            <w:tcMar>
              <w:top w:type="dxa" w:w="60"/>
              <w:left w:type="dxa" w:w="100"/>
              <w:bottom w:type="dxa" w:w="60"/>
              <w:right w:type="dxa" w:w="100"/>
            </w:tcMar>
          </w:tcPr>
          <w:p>
            <w:r>
              <w:rPr>
                <w:sz w:val="21"/>
                <w:szCs w:val="21"/>
              </w:rPr>
              <w:t xml:space="preserve">EXNF-07</w:t>
            </w:r>
          </w:p>
        </w:tc>
        <w:tc>
          <w:tcPr>
            <w:tcW w:type="dxa" w:w="3116"/>
            <w:tcMar>
              <w:top w:type="dxa" w:w="60"/>
              <w:left w:type="dxa" w:w="100"/>
              <w:bottom w:type="dxa" w:w="60"/>
              <w:right w:type="dxa" w:w="100"/>
            </w:tcMar>
          </w:tcPr>
          <w:p>
            <w:r>
              <w:rPr>
                <w:sz w:val="21"/>
                <w:szCs w:val="21"/>
              </w:rPr>
              <w:t xml:space="preserve">Portabilité</w:t>
            </w:r>
          </w:p>
        </w:tc>
        <w:tc>
          <w:tcPr>
            <w:tcW w:type="dxa" w:w="3116"/>
            <w:tcMar>
              <w:top w:type="dxa" w:w="60"/>
              <w:left w:type="dxa" w:w="100"/>
              <w:bottom w:type="dxa" w:w="60"/>
              <w:right w:type="dxa" w:w="100"/>
            </w:tcMar>
          </w:tcPr>
          <w:p>
            <w:r>
              <w:rPr>
                <w:sz w:val="21"/>
                <w:szCs w:val="21"/>
              </w:rPr>
              <w:t xml:space="preserve">100 % conteneurisé, </w:t>
            </w:r>
            <w:r>
              <w:rPr>
                <w:rFonts w:ascii="Consolas" w:cs="Consolas" w:eastAsia="Consolas" w:hAnsi="Consolas"/>
                <w:color w:val="1f2937"/>
                <w:sz w:val="19"/>
                <w:szCs w:val="19"/>
              </w:rPr>
              <w:t xml:space="preserve">docker compose up -d</w:t>
            </w:r>
          </w:p>
        </w:tc>
      </w:tr>
      <w:tr>
        <w:trPr>
          <w:tblHeader w:val="false"/>
        </w:trPr>
        <w:tc>
          <w:tcPr>
            <w:tcW w:type="dxa" w:w="3116"/>
            <w:tcMar>
              <w:top w:type="dxa" w:w="60"/>
              <w:left w:type="dxa" w:w="100"/>
              <w:bottom w:type="dxa" w:w="60"/>
              <w:right w:type="dxa" w:w="100"/>
            </w:tcMar>
          </w:tcPr>
          <w:p>
            <w:r>
              <w:rPr>
                <w:sz w:val="21"/>
                <w:szCs w:val="21"/>
              </w:rPr>
              <w:t xml:space="preserve">EXNF-08</w:t>
            </w:r>
          </w:p>
        </w:tc>
        <w:tc>
          <w:tcPr>
            <w:tcW w:type="dxa" w:w="3116"/>
            <w:tcMar>
              <w:top w:type="dxa" w:w="60"/>
              <w:left w:type="dxa" w:w="100"/>
              <w:bottom w:type="dxa" w:w="60"/>
              <w:right w:type="dxa" w:w="100"/>
            </w:tcMar>
          </w:tcPr>
          <w:p>
            <w:r>
              <w:rPr>
                <w:sz w:val="21"/>
                <w:szCs w:val="21"/>
              </w:rPr>
              <w:t xml:space="preserve">Maintenabilité</w:t>
            </w:r>
          </w:p>
        </w:tc>
        <w:tc>
          <w:tcPr>
            <w:tcW w:type="dxa" w:w="3116"/>
            <w:tcMar>
              <w:top w:type="dxa" w:w="60"/>
              <w:left w:type="dxa" w:w="100"/>
              <w:bottom w:type="dxa" w:w="60"/>
              <w:right w:type="dxa" w:w="100"/>
            </w:tcMar>
          </w:tcPr>
          <w:p>
            <w:r>
              <w:rPr>
                <w:sz w:val="21"/>
                <w:szCs w:val="21"/>
              </w:rPr>
              <w:t xml:space="preserve">Architecture en couches, Repository Pattern</w:t>
            </w:r>
          </w:p>
        </w:tc>
      </w:tr>
      <w:tr>
        <w:trPr>
          <w:tblHeader w:val="false"/>
        </w:trPr>
        <w:tc>
          <w:tcPr>
            <w:tcW w:type="dxa" w:w="3116"/>
            <w:tcMar>
              <w:top w:type="dxa" w:w="60"/>
              <w:left w:type="dxa" w:w="100"/>
              <w:bottom w:type="dxa" w:w="60"/>
              <w:right w:type="dxa" w:w="100"/>
            </w:tcMar>
          </w:tcPr>
          <w:p>
            <w:r>
              <w:rPr>
                <w:sz w:val="21"/>
                <w:szCs w:val="21"/>
              </w:rPr>
              <w:t xml:space="preserve">EXNF-09</w:t>
            </w:r>
          </w:p>
        </w:tc>
        <w:tc>
          <w:tcPr>
            <w:tcW w:type="dxa" w:w="3116"/>
            <w:tcMar>
              <w:top w:type="dxa" w:w="60"/>
              <w:left w:type="dxa" w:w="100"/>
              <w:bottom w:type="dxa" w:w="60"/>
              <w:right w:type="dxa" w:w="100"/>
            </w:tcMar>
          </w:tcPr>
          <w:p>
            <w:r>
              <w:rPr>
                <w:sz w:val="21"/>
                <w:szCs w:val="21"/>
              </w:rPr>
              <w:t xml:space="preserve">Qualité du code</w:t>
            </w:r>
          </w:p>
        </w:tc>
        <w:tc>
          <w:tcPr>
            <w:tcW w:type="dxa" w:w="3116"/>
            <w:tcMar>
              <w:top w:type="dxa" w:w="60"/>
              <w:left w:type="dxa" w:w="100"/>
              <w:bottom w:type="dxa" w:w="60"/>
              <w:right w:type="dxa" w:w="100"/>
            </w:tcMar>
          </w:tcPr>
          <w:p>
            <w:r>
              <w:rPr>
                <w:sz w:val="21"/>
                <w:szCs w:val="21"/>
              </w:rPr>
              <w:t xml:space="preserve">flake8 : 0 violation (preuve réelle, Annexe A1)</w:t>
            </w:r>
          </w:p>
        </w:tc>
      </w:tr>
      <w:tr>
        <w:trPr>
          <w:tblHeader w:val="false"/>
        </w:trPr>
        <w:tc>
          <w:tcPr>
            <w:tcW w:type="dxa" w:w="3116"/>
            <w:tcMar>
              <w:top w:type="dxa" w:w="60"/>
              <w:left w:type="dxa" w:w="100"/>
              <w:bottom w:type="dxa" w:w="60"/>
              <w:right w:type="dxa" w:w="100"/>
            </w:tcMar>
          </w:tcPr>
          <w:p>
            <w:r>
              <w:rPr>
                <w:sz w:val="21"/>
                <w:szCs w:val="21"/>
              </w:rPr>
              <w:t xml:space="preserve">EXNF-10</w:t>
            </w:r>
          </w:p>
        </w:tc>
        <w:tc>
          <w:tcPr>
            <w:tcW w:type="dxa" w:w="3116"/>
            <w:tcMar>
              <w:top w:type="dxa" w:w="60"/>
              <w:left w:type="dxa" w:w="100"/>
              <w:bottom w:type="dxa" w:w="60"/>
              <w:right w:type="dxa" w:w="100"/>
            </w:tcMar>
          </w:tcPr>
          <w:p>
            <w:r>
              <w:rPr>
                <w:sz w:val="21"/>
                <w:szCs w:val="21"/>
              </w:rPr>
              <w:t xml:space="preserve">Testabilité</w:t>
            </w:r>
          </w:p>
        </w:tc>
        <w:tc>
          <w:tcPr>
            <w:tcW w:type="dxa" w:w="3116"/>
            <w:tcMar>
              <w:top w:type="dxa" w:w="60"/>
              <w:left w:type="dxa" w:w="100"/>
              <w:bottom w:type="dxa" w:w="60"/>
              <w:right w:type="dxa" w:w="100"/>
            </w:tcMar>
          </w:tcPr>
          <w:p>
            <w:r>
              <w:rPr>
                <w:sz w:val="21"/>
                <w:szCs w:val="21"/>
              </w:rPr>
              <w:t xml:space="preserve">34 tests automatisés exécutés avec succès (Annexe A1 / Partie 4)</w:t>
            </w:r>
          </w:p>
        </w:tc>
      </w:tr>
    </w:tbl>
    <w:p>
      <w:pPr>
        <w:spacing w:after="160"/>
      </w:pPr>
    </w:p>
    <w:p>
      <w:pPr>
        <w:pStyle w:val="Heading2"/>
        <w:spacing w:after="140" w:before="300"/>
      </w:pPr>
      <w:r>
        <w:t xml:space="preserve">Section 15 — Contraintes techniques et choix technologiques</w:t>
      </w:r>
    </w:p>
    <w:p>
      <w:pPr>
        <w:spacing w:after="120"/>
      </w:pPr>
      <w:r>
        <w:rPr>
          <w:sz w:val="21"/>
          <w:szCs w:val="21"/>
        </w:rPr>
        <w:t xml:space="preserve">Python/Flask (maîtrisé depuis B1/B2 Ynov), MariaDB (SGBDR open source, compatible InnoDB/ACID), Keycloak (SSO open source, supporte OIDC standard), Docker (portabilité), Caddy (TLS automatique sans configuration manuelle de certificats — gain de temps pour un projet solo).</w:t>
      </w:r>
    </w:p>
    <w:p>
      <w:pPr>
        <w:pStyle w:val="Heading2"/>
        <w:spacing w:after="140" w:before="300"/>
      </w:pPr>
      <w:r>
        <w:t xml:space="preserve">Section 16 — Planning prévisionnel</w:t>
      </w:r>
    </w:p>
    <w:p>
      <w:pPr>
        <w:spacing w:after="120"/>
      </w:pPr>
      <w:r>
        <w:rPr>
          <w:sz w:val="21"/>
          <w:szCs w:val="21"/>
        </w:rPr>
        <w:t xml:space="preserve">Voir document dédié (Section 16 détaillée — Partie « Planning prévisionnel »).</w:t>
      </w:r>
    </w:p>
    <w:p>
      <w:pPr>
        <w:pStyle w:val="Heading2"/>
        <w:spacing w:after="140" w:before="300"/>
      </w:pPr>
      <w:r>
        <w:t xml:space="preserve">Section 17 — Gestion des risques projet</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3116"/>
        <w:gridCol w:w="3116"/>
        <w:gridCol w:w="3116"/>
      </w:tblGrid>
      <w:tr>
        <w:trPr>
          <w:tblHeader/>
        </w:trPr>
        <w:tc>
          <w:tcPr>
            <w:tcW w:type="dxa" w:w="3116"/>
            <w:shd w:fill="1f2937" w:color="auto" w:val="clear"/>
            <w:tcMar>
              <w:top w:type="dxa" w:w="60"/>
              <w:left w:type="dxa" w:w="100"/>
              <w:bottom w:type="dxa" w:w="60"/>
              <w:right w:type="dxa" w:w="100"/>
            </w:tcMar>
          </w:tcPr>
          <w:p>
            <w:r>
              <w:rPr>
                <w:b/>
                <w:bCs/>
                <w:color w:val="FFFFFF"/>
                <w:sz w:val="19"/>
                <w:szCs w:val="19"/>
              </w:rPr>
              <w:t xml:space="preserve">Risque</w:t>
            </w:r>
          </w:p>
        </w:tc>
        <w:tc>
          <w:tcPr>
            <w:tcW w:type="dxa" w:w="3116"/>
            <w:shd w:fill="1f2937" w:color="auto" w:val="clear"/>
            <w:tcMar>
              <w:top w:type="dxa" w:w="60"/>
              <w:left w:type="dxa" w:w="100"/>
              <w:bottom w:type="dxa" w:w="60"/>
              <w:right w:type="dxa" w:w="100"/>
            </w:tcMar>
          </w:tcPr>
          <w:p>
            <w:r>
              <w:rPr>
                <w:b/>
                <w:bCs/>
                <w:color w:val="FFFFFF"/>
                <w:sz w:val="19"/>
                <w:szCs w:val="19"/>
              </w:rPr>
              <w:t xml:space="preserve">Impact</w:t>
            </w:r>
          </w:p>
        </w:tc>
        <w:tc>
          <w:tcPr>
            <w:tcW w:type="dxa" w:w="3116"/>
            <w:shd w:fill="1f2937" w:color="auto" w:val="clear"/>
            <w:tcMar>
              <w:top w:type="dxa" w:w="60"/>
              <w:left w:type="dxa" w:w="100"/>
              <w:bottom w:type="dxa" w:w="60"/>
              <w:right w:type="dxa" w:w="100"/>
            </w:tcMar>
          </w:tcPr>
          <w:p>
            <w:r>
              <w:rPr>
                <w:b/>
                <w:bCs/>
                <w:color w:val="FFFFFF"/>
                <w:sz w:val="19"/>
                <w:szCs w:val="19"/>
              </w:rPr>
              <w:t xml:space="preserve">Mitigation</w:t>
            </w:r>
          </w:p>
        </w:tc>
      </w:tr>
      <w:tr>
        <w:trPr>
          <w:tblHeader w:val="false"/>
        </w:trPr>
        <w:tc>
          <w:tcPr>
            <w:tcW w:type="dxa" w:w="3116"/>
            <w:tcMar>
              <w:top w:type="dxa" w:w="60"/>
              <w:left w:type="dxa" w:w="100"/>
              <w:bottom w:type="dxa" w:w="60"/>
              <w:right w:type="dxa" w:w="100"/>
            </w:tcMar>
          </w:tcPr>
          <w:p>
            <w:r>
              <w:rPr>
                <w:sz w:val="21"/>
                <w:szCs w:val="21"/>
              </w:rPr>
              <w:t xml:space="preserve">Interruption longue du projet (indisponibilité)</w:t>
            </w:r>
          </w:p>
        </w:tc>
        <w:tc>
          <w:tcPr>
            <w:tcW w:type="dxa" w:w="3116"/>
            <w:tcMar>
              <w:top w:type="dxa" w:w="60"/>
              <w:left w:type="dxa" w:w="100"/>
              <w:bottom w:type="dxa" w:w="60"/>
              <w:right w:type="dxa" w:w="100"/>
            </w:tcMar>
          </w:tcPr>
          <w:p>
            <w:r>
              <w:rPr>
                <w:sz w:val="21"/>
                <w:szCs w:val="21"/>
              </w:rPr>
              <w:t xml:space="preserve">Perte de contexte</w:t>
            </w:r>
          </w:p>
        </w:tc>
        <w:tc>
          <w:tcPr>
            <w:tcW w:type="dxa" w:w="3116"/>
            <w:tcMar>
              <w:top w:type="dxa" w:w="60"/>
              <w:left w:type="dxa" w:w="100"/>
              <w:bottom w:type="dxa" w:w="60"/>
              <w:right w:type="dxa" w:w="100"/>
            </w:tcMar>
          </w:tcPr>
          <w:p>
            <w:r>
              <w:rPr>
                <w:sz w:val="21"/>
                <w:szCs w:val="21"/>
              </w:rPr>
              <w:t xml:space="preserve">Journal de bord, README à jour, code auto-documenté</w:t>
            </w:r>
          </w:p>
        </w:tc>
      </w:tr>
      <w:tr>
        <w:trPr>
          <w:tblHeader w:val="false"/>
        </w:trPr>
        <w:tc>
          <w:tcPr>
            <w:tcW w:type="dxa" w:w="3116"/>
            <w:tcMar>
              <w:top w:type="dxa" w:w="60"/>
              <w:left w:type="dxa" w:w="100"/>
              <w:bottom w:type="dxa" w:w="60"/>
              <w:right w:type="dxa" w:w="100"/>
            </w:tcMar>
          </w:tcPr>
          <w:p>
            <w:r>
              <w:rPr>
                <w:sz w:val="21"/>
                <w:szCs w:val="21"/>
              </w:rPr>
              <w:t xml:space="preserve">Dépendance à un service externe (Mattermost)</w:t>
            </w:r>
          </w:p>
        </w:tc>
        <w:tc>
          <w:tcPr>
            <w:tcW w:type="dxa" w:w="3116"/>
            <w:tcMar>
              <w:top w:type="dxa" w:w="60"/>
              <w:left w:type="dxa" w:w="100"/>
              <w:bottom w:type="dxa" w:w="60"/>
              <w:right w:type="dxa" w:w="100"/>
            </w:tcMar>
          </w:tcPr>
          <w:p>
            <w:r>
              <w:rPr>
                <w:sz w:val="21"/>
                <w:szCs w:val="21"/>
              </w:rPr>
              <w:t xml:space="preserve">Fonctionnalité chat/Kanban indisponible</w:t>
            </w:r>
          </w:p>
        </w:tc>
        <w:tc>
          <w:tcPr>
            <w:tcW w:type="dxa" w:w="3116"/>
            <w:tcMar>
              <w:top w:type="dxa" w:w="60"/>
              <w:left w:type="dxa" w:w="100"/>
              <w:bottom w:type="dxa" w:w="60"/>
              <w:right w:type="dxa" w:w="100"/>
            </w:tcMar>
          </w:tcPr>
          <w:p>
            <w:r>
              <w:rPr>
                <w:sz w:val="21"/>
                <w:szCs w:val="21"/>
              </w:rPr>
              <w:t xml:space="preserve">Service isolé, redémarrage indépendant (Docker)</w:t>
            </w:r>
          </w:p>
        </w:tc>
      </w:tr>
      <w:tr>
        <w:trPr>
          <w:tblHeader w:val="false"/>
        </w:trPr>
        <w:tc>
          <w:tcPr>
            <w:tcW w:type="dxa" w:w="3116"/>
            <w:tcMar>
              <w:top w:type="dxa" w:w="60"/>
              <w:left w:type="dxa" w:w="100"/>
              <w:bottom w:type="dxa" w:w="60"/>
              <w:right w:type="dxa" w:w="100"/>
            </w:tcMar>
          </w:tcPr>
          <w:p>
            <w:r>
              <w:rPr>
                <w:sz w:val="21"/>
                <w:szCs w:val="21"/>
              </w:rPr>
              <w:t xml:space="preserve">Erreur de configuration Keycloak</w:t>
            </w:r>
          </w:p>
        </w:tc>
        <w:tc>
          <w:tcPr>
            <w:tcW w:type="dxa" w:w="3116"/>
            <w:tcMar>
              <w:top w:type="dxa" w:w="60"/>
              <w:left w:type="dxa" w:w="100"/>
              <w:bottom w:type="dxa" w:w="60"/>
              <w:right w:type="dxa" w:w="100"/>
            </w:tcMar>
          </w:tcPr>
          <w:p>
            <w:r>
              <w:rPr>
                <w:sz w:val="21"/>
                <w:szCs w:val="21"/>
              </w:rPr>
              <w:t xml:space="preserve">Blocage de l'authentification</w:t>
            </w:r>
          </w:p>
        </w:tc>
        <w:tc>
          <w:tcPr>
            <w:tcW w:type="dxa" w:w="3116"/>
            <w:tcMar>
              <w:top w:type="dxa" w:w="60"/>
              <w:left w:type="dxa" w:w="100"/>
              <w:bottom w:type="dxa" w:w="60"/>
              <w:right w:type="dxa" w:w="100"/>
            </w:tcMar>
          </w:tcPr>
          <w:p>
            <w:r>
              <w:rPr>
                <w:sz w:val="21"/>
                <w:szCs w:val="21"/>
              </w:rPr>
              <w:t xml:space="preserve">Export de la configuration réalm (</w:t>
            </w:r>
            <w:r>
              <w:rPr>
                <w:rFonts w:ascii="Consolas" w:cs="Consolas" w:eastAsia="Consolas" w:hAnsi="Consolas"/>
                <w:color w:val="1f2937"/>
                <w:sz w:val="19"/>
                <w:szCs w:val="19"/>
              </w:rPr>
              <w:t xml:space="preserve">export_keycloak/</w:t>
            </w:r>
            <w:r>
              <w:rPr>
                <w:sz w:val="21"/>
                <w:szCs w:val="21"/>
              </w:rPr>
              <w:t xml:space="preserve">)</w:t>
            </w:r>
          </w:p>
        </w:tc>
      </w:tr>
      <w:tr>
        <w:trPr>
          <w:tblHeader w:val="false"/>
        </w:trPr>
        <w:tc>
          <w:tcPr>
            <w:tcW w:type="dxa" w:w="3116"/>
            <w:tcMar>
              <w:top w:type="dxa" w:w="60"/>
              <w:left w:type="dxa" w:w="100"/>
              <w:bottom w:type="dxa" w:w="60"/>
              <w:right w:type="dxa" w:w="100"/>
            </w:tcMar>
          </w:tcPr>
          <w:p>
            <w:r>
              <w:rPr>
                <w:sz w:val="21"/>
                <w:szCs w:val="21"/>
              </w:rPr>
              <w:t xml:space="preserve">Régression lors d'une évolution</w:t>
            </w:r>
          </w:p>
        </w:tc>
        <w:tc>
          <w:tcPr>
            <w:tcW w:type="dxa" w:w="3116"/>
            <w:tcMar>
              <w:top w:type="dxa" w:w="60"/>
              <w:left w:type="dxa" w:w="100"/>
              <w:bottom w:type="dxa" w:w="60"/>
              <w:right w:type="dxa" w:w="100"/>
            </w:tcMar>
          </w:tcPr>
          <w:p>
            <w:r>
              <w:rPr>
                <w:sz w:val="21"/>
                <w:szCs w:val="21"/>
              </w:rPr>
              <w:t xml:space="preserve">Fonctionnalité cassée silencieusement</w:t>
            </w:r>
          </w:p>
        </w:tc>
        <w:tc>
          <w:tcPr>
            <w:tcW w:type="dxa" w:w="3116"/>
            <w:tcMar>
              <w:top w:type="dxa" w:w="60"/>
              <w:left w:type="dxa" w:w="100"/>
              <w:bottom w:type="dxa" w:w="60"/>
              <w:right w:type="dxa" w:w="100"/>
            </w:tcMar>
          </w:tcPr>
          <w:p>
            <w:r>
              <w:rPr>
                <w:sz w:val="21"/>
                <w:szCs w:val="21"/>
              </w:rPr>
              <w:t xml:space="preserve">Suite de tests automatisés (34 cas), exécutée avant chaque livraison</w:t>
            </w:r>
          </w:p>
        </w:tc>
      </w:tr>
    </w:tbl>
    <w:p>
      <w:pPr>
        <w:spacing w:after="160"/>
      </w:pPr>
    </w:p>
    <w:p>
      <w:pPr>
        <w:pStyle w:val="Heading2"/>
        <w:spacing w:after="140" w:before="300"/>
      </w:pPr>
      <w:r>
        <w:t xml:space="preserve">Section 18 — Critères d'acceptation / recette</w:t>
      </w:r>
    </w:p>
    <w:p>
      <w:pPr>
        <w:spacing w:after="120"/>
      </w:pPr>
      <w:r>
        <w:rPr>
          <w:sz w:val="21"/>
          <w:szCs w:val="21"/>
        </w:rPr>
        <w:t xml:space="preserve">Voir Partie 4 — Grille de recette (15 critères).</w:t>
      </w:r>
    </w:p>
    <w:p>
      <w:pPr>
        <w:pStyle w:val="Heading2"/>
        <w:spacing w:after="140" w:before="300"/>
      </w:pPr>
      <w:r>
        <w:t xml:space="preserve">Section 19 — Glossaire</w:t>
      </w:r>
    </w:p>
    <w:p>
      <w:pPr>
        <w:pStyle w:val="ListParagraph"/>
        <w:numPr>
          <w:ilvl w:val="0"/>
          <w:numId w:val="1"/>
        </w:numPr>
        <w:spacing w:after="60"/>
      </w:pPr>
      <w:r>
        <w:rPr>
          <w:b/>
          <w:bCs/>
          <w:sz w:val="21"/>
          <w:szCs w:val="21"/>
        </w:rPr>
        <w:t xml:space="preserve">OIDC</w:t>
      </w:r>
      <w:r>
        <w:rPr>
          <w:sz w:val="21"/>
          <w:szCs w:val="21"/>
        </w:rPr>
        <w:t xml:space="preserve"> : OpenID Connect, protocole d'authentification basé sur OAuth2.</w:t>
      </w:r>
    </w:p>
    <w:p>
      <w:pPr>
        <w:pStyle w:val="ListParagraph"/>
        <w:numPr>
          <w:ilvl w:val="0"/>
          <w:numId w:val="1"/>
        </w:numPr>
        <w:spacing w:after="60"/>
      </w:pPr>
      <w:r>
        <w:rPr>
          <w:b/>
          <w:bCs/>
          <w:sz w:val="21"/>
          <w:szCs w:val="21"/>
        </w:rPr>
        <w:t xml:space="preserve">SSO</w:t>
      </w:r>
      <w:r>
        <w:rPr>
          <w:sz w:val="21"/>
          <w:szCs w:val="21"/>
        </w:rPr>
        <w:t xml:space="preserve"> : Single Sign-On, authentification unique pour plusieurs services.</w:t>
      </w:r>
    </w:p>
    <w:p>
      <w:pPr>
        <w:pStyle w:val="ListParagraph"/>
        <w:numPr>
          <w:ilvl w:val="0"/>
          <w:numId w:val="1"/>
        </w:numPr>
        <w:spacing w:after="60"/>
      </w:pPr>
      <w:r>
        <w:rPr>
          <w:b/>
          <w:bCs/>
          <w:sz w:val="21"/>
          <w:szCs w:val="21"/>
        </w:rPr>
        <w:t xml:space="preserve">sub</w:t>
      </w:r>
      <w:r>
        <w:rPr>
          <w:sz w:val="21"/>
          <w:szCs w:val="21"/>
        </w:rPr>
        <w:t xml:space="preserve"> : identifiant unique et opaque d'un utilisateur dans un token OIDC.</w:t>
      </w:r>
    </w:p>
    <w:p>
      <w:pPr>
        <w:pStyle w:val="ListParagraph"/>
        <w:numPr>
          <w:ilvl w:val="0"/>
          <w:numId w:val="1"/>
        </w:numPr>
        <w:spacing w:after="60"/>
      </w:pPr>
      <w:r>
        <w:rPr>
          <w:b/>
          <w:bCs/>
          <w:sz w:val="21"/>
          <w:szCs w:val="21"/>
        </w:rPr>
        <w:t xml:space="preserve">3NF</w:t>
      </w:r>
      <w:r>
        <w:rPr>
          <w:sz w:val="21"/>
          <w:szCs w:val="21"/>
        </w:rPr>
        <w:t xml:space="preserve"> : troisième forme normale (modélisation de bases de données</w:t>
      </w:r>
    </w:p>
    <w:p>
      <w:pPr>
        <w:spacing w:after="120"/>
      </w:pPr>
      <w:r>
        <w:rPr>
          <w:sz w:val="21"/>
          <w:szCs w:val="21"/>
        </w:rPr>
        <w:t xml:space="preserve">relationnelles).</w:t>
      </w:r>
    </w:p>
    <w:p>
      <w:pPr>
        <w:pStyle w:val="ListParagraph"/>
        <w:numPr>
          <w:ilvl w:val="0"/>
          <w:numId w:val="1"/>
        </w:numPr>
        <w:spacing w:after="60"/>
      </w:pPr>
      <w:r>
        <w:rPr>
          <w:b/>
          <w:bCs/>
          <w:sz w:val="21"/>
          <w:szCs w:val="21"/>
        </w:rPr>
        <w:t xml:space="preserve">Repository Pattern</w:t>
      </w:r>
      <w:r>
        <w:rPr>
          <w:sz w:val="21"/>
          <w:szCs w:val="21"/>
        </w:rPr>
        <w:t xml:space="preserve"> : patron de conception isolant l'accès aux données</w:t>
      </w:r>
    </w:p>
    <w:p>
      <w:pPr>
        <w:spacing w:after="120"/>
      </w:pPr>
      <w:r>
        <w:rPr>
          <w:sz w:val="21"/>
          <w:szCs w:val="21"/>
        </w:rPr>
        <w:t xml:space="preserve">derrière une interface stable.</w:t>
      </w:r>
    </w:p>
    <w:p>
      <w:pPr>
        <w:pStyle w:val="Heading2"/>
        <w:spacing w:after="140" w:before="300"/>
      </w:pPr>
      <w:r>
        <w:t xml:space="preserve">Section 20 — Annexes</w:t>
      </w:r>
    </w:p>
    <w:p>
      <w:pPr>
        <w:spacing w:after="120"/>
      </w:pPr>
      <w:r>
        <w:rPr>
          <w:sz w:val="21"/>
          <w:szCs w:val="21"/>
        </w:rPr>
        <w:t xml:space="preserve">Voir Annexe A1 (Qualité du code), Annexe A2 (Estimation de charge), Partie 3 (DevOps), Partie 4 (Plan de tests), Partie 5 (Rétro-documentation), Partie 6 (Journal de bord).</w:t>
      </w:r>
    </w:p>
    <w:p>
      <w:pPr>
        <w:pStyle w:val="Heading2"/>
        <w:spacing w:after="140" w:before="300"/>
      </w:pPr>
      <w:r>
        <w:t xml:space="preserve">Illustrations — Schémas d'architecture (Sections 10, 12, 13)</w:t>
      </w:r>
    </w:p>
    <w:p>
      <w:pPr>
        <w:spacing w:after="80" w:before="200"/>
        <w:jc w:val="center"/>
      </w:pPr>
      <w:r>
        <w:drawing>
          <wp:inline distT="0" distB="0" distL="0" distR="0">
            <wp:extent cx="5334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3200400"/>
                    </a:xfrm>
                    <a:prstGeom prst="rect">
                      <a:avLst/>
                    </a:prstGeom>
                  </pic:spPr>
                </pic:pic>
              </a:graphicData>
            </a:graphic>
          </wp:inline>
        </w:drawing>
      </w:r>
    </w:p>
    <w:p>
      <w:pPr>
        <w:spacing w:after="200"/>
        <w:jc w:val="center"/>
      </w:pPr>
      <w:r>
        <w:rPr>
          <w:i/>
          <w:iCs/>
          <w:color w:val="6B7280"/>
          <w:sz w:val="18"/>
          <w:szCs w:val="18"/>
        </w:rPr>
        <w:t xml:space="preserve">Schéma d'architecture d'infrastructure Docker Compose (Section 12)</w:t>
      </w:r>
    </w:p>
    <w:p>
      <w:pPr>
        <w:spacing w:after="80" w:before="200"/>
        <w:jc w:val="center"/>
      </w:pPr>
      <w:r>
        <w:drawing>
          <wp:inline distT="0" distB="0" distL="0" distR="0">
            <wp:extent cx="5334000" cy="384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34000" cy="3848100"/>
                    </a:xfrm>
                    <a:prstGeom prst="rect">
                      <a:avLst/>
                    </a:prstGeom>
                  </pic:spPr>
                </pic:pic>
              </a:graphicData>
            </a:graphic>
          </wp:inline>
        </w:drawing>
      </w:r>
    </w:p>
    <w:p>
      <w:pPr>
        <w:spacing w:after="200"/>
        <w:jc w:val="center"/>
      </w:pPr>
      <w:r>
        <w:rPr>
          <w:i/>
          <w:iCs/>
          <w:color w:val="6B7280"/>
          <w:sz w:val="18"/>
          <w:szCs w:val="18"/>
        </w:rPr>
        <w:t xml:space="preserve">Schéma d'architecture logique en 5 couches (Section 10)</w:t>
      </w:r>
    </w:p>
    <w:p>
      <w:pPr>
        <w:pStyle w:val="Heading1"/>
        <w:pageBreakBefore/>
        <w:spacing w:after="160" w:before="360"/>
      </w:pPr>
      <w:r>
        <w:t xml:space="preserve">Annexe A1 — Qualité du code</w:t>
      </w:r>
    </w:p>
    <w:p>
      <w:pPr>
        <w:pStyle w:val="Heading2"/>
        <w:spacing w:after="140" w:before="300"/>
      </w:pPr>
      <w:r>
        <w:t xml:space="preserve">Charte de nommage</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3116"/>
        <w:gridCol w:w="3116"/>
        <w:gridCol w:w="3116"/>
      </w:tblGrid>
      <w:tr>
        <w:trPr>
          <w:tblHeader/>
        </w:trPr>
        <w:tc>
          <w:tcPr>
            <w:tcW w:type="dxa" w:w="3116"/>
            <w:shd w:fill="1f2937" w:color="auto" w:val="clear"/>
            <w:tcMar>
              <w:top w:type="dxa" w:w="60"/>
              <w:left w:type="dxa" w:w="100"/>
              <w:bottom w:type="dxa" w:w="60"/>
              <w:right w:type="dxa" w:w="100"/>
            </w:tcMar>
          </w:tcPr>
          <w:p>
            <w:r>
              <w:rPr>
                <w:b/>
                <w:bCs/>
                <w:color w:val="FFFFFF"/>
                <w:sz w:val="19"/>
                <w:szCs w:val="19"/>
              </w:rPr>
              <w:t xml:space="preserve">Élément</w:t>
            </w:r>
          </w:p>
        </w:tc>
        <w:tc>
          <w:tcPr>
            <w:tcW w:type="dxa" w:w="3116"/>
            <w:shd w:fill="1f2937" w:color="auto" w:val="clear"/>
            <w:tcMar>
              <w:top w:type="dxa" w:w="60"/>
              <w:left w:type="dxa" w:w="100"/>
              <w:bottom w:type="dxa" w:w="60"/>
              <w:right w:type="dxa" w:w="100"/>
            </w:tcMar>
          </w:tcPr>
          <w:p>
            <w:r>
              <w:rPr>
                <w:b/>
                <w:bCs/>
                <w:color w:val="FFFFFF"/>
                <w:sz w:val="19"/>
                <w:szCs w:val="19"/>
              </w:rPr>
              <w:t xml:space="preserve">Convention</w:t>
            </w:r>
          </w:p>
        </w:tc>
        <w:tc>
          <w:tcPr>
            <w:tcW w:type="dxa" w:w="3116"/>
            <w:shd w:fill="1f2937" w:color="auto" w:val="clear"/>
            <w:tcMar>
              <w:top w:type="dxa" w:w="60"/>
              <w:left w:type="dxa" w:w="100"/>
              <w:bottom w:type="dxa" w:w="60"/>
              <w:right w:type="dxa" w:w="100"/>
            </w:tcMar>
          </w:tcPr>
          <w:p>
            <w:r>
              <w:rPr>
                <w:b/>
                <w:bCs/>
                <w:color w:val="FFFFFF"/>
                <w:sz w:val="19"/>
                <w:szCs w:val="19"/>
              </w:rPr>
              <w:t xml:space="preserve">Exemple réel dans le code</w:t>
            </w:r>
          </w:p>
        </w:tc>
      </w:tr>
      <w:tr>
        <w:trPr>
          <w:tblHeader w:val="false"/>
        </w:trPr>
        <w:tc>
          <w:tcPr>
            <w:tcW w:type="dxa" w:w="3116"/>
            <w:tcMar>
              <w:top w:type="dxa" w:w="60"/>
              <w:left w:type="dxa" w:w="100"/>
              <w:bottom w:type="dxa" w:w="60"/>
              <w:right w:type="dxa" w:w="100"/>
            </w:tcMar>
          </w:tcPr>
          <w:p>
            <w:r>
              <w:rPr>
                <w:sz w:val="21"/>
                <w:szCs w:val="21"/>
              </w:rPr>
              <w:t xml:space="preserve">Fonctions, variables</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snake_case</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create_annonce</w:t>
            </w:r>
            <w:r>
              <w:rPr>
                <w:sz w:val="21"/>
                <w:szCs w:val="21"/>
              </w:rPr>
              <w:t xml:space="preserve">, </w:t>
            </w:r>
            <w:r>
              <w:rPr>
                <w:rFonts w:ascii="Consolas" w:cs="Consolas" w:eastAsia="Consolas" w:hAnsi="Consolas"/>
                <w:color w:val="1f2937"/>
                <w:sz w:val="19"/>
                <w:szCs w:val="19"/>
              </w:rPr>
              <w:t xml:space="preserve">fichier_id</w:t>
            </w:r>
          </w:p>
        </w:tc>
      </w:tr>
      <w:tr>
        <w:trPr>
          <w:tblHeader w:val="false"/>
        </w:trPr>
        <w:tc>
          <w:tcPr>
            <w:tcW w:type="dxa" w:w="3116"/>
            <w:tcMar>
              <w:top w:type="dxa" w:w="60"/>
              <w:left w:type="dxa" w:w="100"/>
              <w:bottom w:type="dxa" w:w="60"/>
              <w:right w:type="dxa" w:w="100"/>
            </w:tcMar>
          </w:tcPr>
          <w:p>
            <w:r>
              <w:rPr>
                <w:sz w:val="21"/>
                <w:szCs w:val="21"/>
              </w:rPr>
              <w:t xml:space="preserve">Classes / exceptions</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PascalCase</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AnnonceNotFoundError</w:t>
            </w:r>
            <w:r>
              <w:rPr>
                <w:sz w:val="21"/>
                <w:szCs w:val="21"/>
              </w:rPr>
              <w:t xml:space="preserve">, </w:t>
            </w:r>
            <w:r>
              <w:rPr>
                <w:rFonts w:ascii="Consolas" w:cs="Consolas" w:eastAsia="Consolas" w:hAnsi="Consolas"/>
                <w:color w:val="1f2937"/>
                <w:sz w:val="19"/>
                <w:szCs w:val="19"/>
              </w:rPr>
              <w:t xml:space="preserve">FileValidationError</w:t>
            </w:r>
          </w:p>
        </w:tc>
      </w:tr>
      <w:tr>
        <w:trPr>
          <w:tblHeader w:val="false"/>
        </w:trPr>
        <w:tc>
          <w:tcPr>
            <w:tcW w:type="dxa" w:w="3116"/>
            <w:tcMar>
              <w:top w:type="dxa" w:w="60"/>
              <w:left w:type="dxa" w:w="100"/>
              <w:bottom w:type="dxa" w:w="60"/>
              <w:right w:type="dxa" w:w="100"/>
            </w:tcMar>
          </w:tcPr>
          <w:p>
            <w:r>
              <w:rPr>
                <w:sz w:val="21"/>
                <w:szCs w:val="21"/>
              </w:rPr>
              <w:t xml:space="preserve">Constantes</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UPPER_SNAKE_CASE</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TITRE_MAX_LEN</w:t>
            </w:r>
            <w:r>
              <w:rPr>
                <w:sz w:val="21"/>
                <w:szCs w:val="21"/>
              </w:rPr>
              <w:t xml:space="preserve">, </w:t>
            </w:r>
            <w:r>
              <w:rPr>
                <w:rFonts w:ascii="Consolas" w:cs="Consolas" w:eastAsia="Consolas" w:hAnsi="Consolas"/>
                <w:color w:val="1f2937"/>
                <w:sz w:val="19"/>
                <w:szCs w:val="19"/>
              </w:rPr>
              <w:t xml:space="preserve">ALLOWED_EXTENSIONS</w:t>
            </w:r>
          </w:p>
        </w:tc>
      </w:tr>
      <w:tr>
        <w:trPr>
          <w:tblHeader w:val="false"/>
        </w:trPr>
        <w:tc>
          <w:tcPr>
            <w:tcW w:type="dxa" w:w="3116"/>
            <w:tcMar>
              <w:top w:type="dxa" w:w="60"/>
              <w:left w:type="dxa" w:w="100"/>
              <w:bottom w:type="dxa" w:w="60"/>
              <w:right w:type="dxa" w:w="100"/>
            </w:tcMar>
          </w:tcPr>
          <w:p>
            <w:r>
              <w:rPr>
                <w:sz w:val="21"/>
                <w:szCs w:val="21"/>
              </w:rPr>
              <w:t xml:space="preserve">Modules</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snake_case</w:t>
            </w:r>
            <w:r>
              <w:rPr>
                <w:sz w:val="21"/>
                <w:szCs w:val="21"/>
              </w:rPr>
              <w:t xml:space="preserve"> court, un rôle par fichier</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annonce_service.py</w:t>
            </w:r>
            <w:r>
              <w:rPr>
                <w:sz w:val="21"/>
                <w:szCs w:val="21"/>
              </w:rPr>
              <w:t xml:space="preserve">, </w:t>
            </w:r>
            <w:r>
              <w:rPr>
                <w:rFonts w:ascii="Consolas" w:cs="Consolas" w:eastAsia="Consolas" w:hAnsi="Consolas"/>
                <w:color w:val="1f2937"/>
                <w:sz w:val="19"/>
                <w:szCs w:val="19"/>
              </w:rPr>
              <w:t xml:space="preserve">audit_model.py</w:t>
            </w:r>
          </w:p>
        </w:tc>
      </w:tr>
    </w:tbl>
    <w:p>
      <w:pPr>
        <w:spacing w:after="160"/>
      </w:pPr>
    </w:p>
    <w:p>
      <w:pPr>
        <w:pStyle w:val="Heading2"/>
        <w:spacing w:after="140" w:before="300"/>
      </w:pPr>
      <w:r>
        <w:t xml:space="preserve">Séparation stricte des responsabilités</w:t>
      </w:r>
    </w:p>
    <w:p>
      <w:pPr>
        <w:spacing w:after="120"/>
      </w:pPr>
      <w:r>
        <w:rPr>
          <w:sz w:val="21"/>
          <w:szCs w:val="21"/>
        </w:rPr>
        <w:t xml:space="preserve">Architecture en couches routes/ → services/ → models/ (voir Bloc 1 — C3/C4). Aucune route n'exécute de SQL ; aucun modèle ne connaît la logique HTTP.</w:t>
      </w:r>
    </w:p>
    <w:p>
      <w:pPr>
        <w:pStyle w:val="Heading2"/>
        <w:spacing w:after="140" w:before="300"/>
      </w:pPr>
      <w:r>
        <w:t xml:space="preserve">Preuve réelle — exécution de flake8 (2026-08-20)</w:t>
      </w:r>
    </w:p>
    <w:p>
      <w:pPr>
        <w:spacing w:after="120"/>
      </w:pPr>
      <w:r>
        <w:rPr>
          <w:sz w:val="21"/>
          <w:szCs w:val="21"/>
        </w:rPr>
        <w:t xml:space="preserve">Commande exécutée : </w:t>
      </w:r>
      <w:r>
        <w:rPr>
          <w:rFonts w:ascii="Consolas" w:cs="Consolas" w:eastAsia="Consolas" w:hAnsi="Consolas"/>
          <w:color w:val="1f2937"/>
          <w:sz w:val="19"/>
          <w:szCs w:val="19"/>
        </w:rPr>
        <w:t xml:space="preserve">flake8 --max-line-length=110 --exclude=tests app.py config.py db.py models routes services init_db.py</w:t>
      </w:r>
    </w:p>
    <w:tbl>
      <w:tblPr>
        <w:tblW w:type="dxa" w:w="9350"/>
        <w:tblBorders>
          <w:top w:val="single" w:color="D1D5DB" w:sz="2"/>
          <w:left w:val="single" w:color="D1D5DB" w:sz="2"/>
          <w:bottom w:val="single" w:color="D1D5DB" w:sz="2"/>
          <w:right w:val="single" w:color="D1D5DB" w:sz="2"/>
          <w:insideH w:val="none"/>
          <w:insideV w:val="none"/>
        </w:tblBorders>
      </w:tblPr>
      <w:tblGrid>
        <w:gridCol w:w="9350"/>
      </w:tblGrid>
      <w:tr>
        <w:tc>
          <w:tcPr>
            <w:tcW w:type="dxa" w:w="9350"/>
            <w:shd w:fill="F3F4F6" w:color="auto" w:val="clear"/>
            <w:tcMar>
              <w:top w:type="dxa" w:w="120"/>
              <w:left w:type="dxa" w:w="160"/>
              <w:bottom w:type="dxa" w:w="120"/>
              <w:right w:type="dxa" w:w="160"/>
            </w:tcMar>
          </w:tcPr>
          <w:p>
            <w:r>
              <w:rPr>
                <w:rFonts w:ascii="Consolas" w:cs="Consolas" w:eastAsia="Consolas" w:hAnsi="Consolas"/>
                <w:sz w:val="18"/>
                <w:szCs w:val="18"/>
              </w:rPr>
              <w:t xml:space="preserve">(sortie vide — 0 violation)</w:t>
            </w:r>
          </w:p>
        </w:tc>
      </w:tr>
    </w:tbl>
    <w:p>
      <w:pPr>
        <w:spacing w:after="120"/>
      </w:pPr>
    </w:p>
    <w:p>
      <w:pPr>
        <w:spacing w:after="120"/>
      </w:pPr>
      <w:r>
        <w:rPr>
          <w:b/>
          <w:bCs/>
          <w:sz w:val="21"/>
          <w:szCs w:val="21"/>
        </w:rPr>
        <w:t xml:space="preserve">0 violation PEP8/pyflakes</w:t>
      </w:r>
      <w:r>
        <w:rPr>
          <w:sz w:val="21"/>
          <w:szCs w:val="21"/>
        </w:rPr>
        <w:t xml:space="preserve"> sur l'ensemble de la couche applicative (app.py, config.py, db.py, models/, routes/, services/, init_db.py — hors tests). Rapport complet : </w:t>
      </w:r>
      <w:r>
        <w:rPr>
          <w:rFonts w:ascii="Consolas" w:cs="Consolas" w:eastAsia="Consolas" w:hAnsi="Consolas"/>
          <w:color w:val="1f2937"/>
          <w:sz w:val="19"/>
          <w:szCs w:val="19"/>
        </w:rPr>
        <w:t xml:space="preserve">docs/evidence/flake8_output.txt</w:t>
      </w:r>
      <w:r>
        <w:rPr>
          <w:sz w:val="21"/>
          <w:szCs w:val="21"/>
        </w:rPr>
        <w:t xml:space="preserve">.</w:t>
      </w:r>
    </w:p>
    <w:p>
      <w:pPr>
        <w:pStyle w:val="Heading2"/>
        <w:spacing w:after="140" w:before="300"/>
      </w:pPr>
      <w:r>
        <w:t xml:space="preserve">Preuve réelle — exécution de radon (complexité et documentation)</w:t>
      </w:r>
    </w:p>
    <w:p>
      <w:pPr>
        <w:spacing w:after="120"/>
      </w:pPr>
      <w:r>
        <w:rPr>
          <w:sz w:val="21"/>
          <w:szCs w:val="21"/>
        </w:rPr>
        <w:t xml:space="preserve">Commande : </w:t>
      </w:r>
      <w:r>
        <w:rPr>
          <w:rFonts w:ascii="Consolas" w:cs="Consolas" w:eastAsia="Consolas" w:hAnsi="Consolas"/>
          <w:color w:val="1f2937"/>
          <w:sz w:val="19"/>
          <w:szCs w:val="19"/>
        </w:rPr>
        <w:t xml:space="preserve">radon cc models services routes app.py db.py -s -a</w:t>
      </w:r>
    </w:p>
    <w:tbl>
      <w:tblPr>
        <w:tblW w:type="dxa" w:w="9350"/>
        <w:tblBorders>
          <w:top w:val="single" w:color="D1D5DB" w:sz="2"/>
          <w:left w:val="single" w:color="D1D5DB" w:sz="2"/>
          <w:bottom w:val="single" w:color="D1D5DB" w:sz="2"/>
          <w:right w:val="single" w:color="D1D5DB" w:sz="2"/>
          <w:insideH w:val="none"/>
          <w:insideV w:val="none"/>
        </w:tblBorders>
      </w:tblPr>
      <w:tblGrid>
        <w:gridCol w:w="9350"/>
      </w:tblGrid>
      <w:tr>
        <w:tc>
          <w:tcPr>
            <w:tcW w:type="dxa" w:w="9350"/>
            <w:shd w:fill="F3F4F6" w:color="auto" w:val="clear"/>
            <w:tcMar>
              <w:top w:type="dxa" w:w="120"/>
              <w:left w:type="dxa" w:w="160"/>
              <w:bottom w:type="dxa" w:w="120"/>
              <w:right w:type="dxa" w:w="160"/>
            </w:tcMar>
          </w:tcPr>
          <w:p>
            <w:r>
              <w:rPr>
                <w:rFonts w:ascii="Consolas" w:cs="Consolas" w:eastAsia="Consolas" w:hAnsi="Consolas"/>
                <w:sz w:val="18"/>
                <w:szCs w:val="18"/>
              </w:rPr>
              <w:t xml:space="preserve">84 blocs (classes, fonctions, méthodes) analysés.</w:t>
            </w:r>
          </w:p>
          <w:p>
            <w:r>
              <w:rPr>
                <w:rFonts w:ascii="Consolas" w:cs="Consolas" w:eastAsia="Consolas" w:hAnsi="Consolas"/>
                <w:sz w:val="18"/>
                <w:szCs w:val="18"/>
              </w:rPr>
              <w:t xml:space="preserve">Complexité moyenne : A (1.70)</w:t>
            </w:r>
          </w:p>
        </w:tc>
      </w:tr>
    </w:tbl>
    <w:p>
      <w:pPr>
        <w:spacing w:after="120"/>
      </w:pPr>
    </w:p>
    <w:p>
      <w:pPr>
        <w:spacing w:after="120"/>
      </w:pPr>
      <w:r>
        <w:rPr>
          <w:sz w:val="21"/>
          <w:szCs w:val="21"/>
        </w:rPr>
        <w:t xml:space="preserve">Une complexité cyclomatique moyenne de 1,70 (grade A) signifie que la quasi-totalité des fonctions n'a qu'un ou deux chemins d'exécution — cohérent avec la décomposition en étapes indépendantes (ex. upload de fichiers en 8 fonctions, cf. Bloc 3 — C2).</w:t>
      </w:r>
    </w:p>
    <w:p>
      <w:pPr>
        <w:spacing w:after="120"/>
      </w:pPr>
      <w:r>
        <w:rPr>
          <w:sz w:val="21"/>
          <w:szCs w:val="21"/>
        </w:rPr>
        <w:t xml:space="preserve">Commande : </w:t>
      </w:r>
      <w:r>
        <w:rPr>
          <w:rFonts w:ascii="Consolas" w:cs="Consolas" w:eastAsia="Consolas" w:hAnsi="Consolas"/>
          <w:color w:val="1f2937"/>
          <w:sz w:val="19"/>
          <w:szCs w:val="19"/>
        </w:rPr>
        <w:t xml:space="preserve">radon raw models services routes app.py db.py -s</w:t>
      </w:r>
    </w:p>
    <w:tbl>
      <w:tblPr>
        <w:tblW w:type="dxa" w:w="9350"/>
        <w:tblBorders>
          <w:top w:val="single" w:color="D1D5DB" w:sz="2"/>
          <w:left w:val="single" w:color="D1D5DB" w:sz="2"/>
          <w:bottom w:val="single" w:color="D1D5DB" w:sz="2"/>
          <w:right w:val="single" w:color="D1D5DB" w:sz="2"/>
          <w:insideH w:val="none"/>
          <w:insideV w:val="none"/>
        </w:tblBorders>
      </w:tblPr>
      <w:tblGrid>
        <w:gridCol w:w="9350"/>
      </w:tblGrid>
      <w:tr>
        <w:tc>
          <w:tcPr>
            <w:tcW w:type="dxa" w:w="9350"/>
            <w:shd w:fill="F3F4F6" w:color="auto" w:val="clear"/>
            <w:tcMar>
              <w:top w:type="dxa" w:w="120"/>
              <w:left w:type="dxa" w:w="160"/>
              <w:bottom w:type="dxa" w:w="120"/>
              <w:right w:type="dxa" w:w="160"/>
            </w:tcMar>
          </w:tcPr>
          <w:p>
            <w:r>
              <w:rPr>
                <w:rFonts w:ascii="Consolas" w:cs="Consolas" w:eastAsia="Consolas" w:hAnsi="Consolas"/>
                <w:sz w:val="18"/>
                <w:szCs w:val="18"/>
              </w:rPr>
              <w:t xml:space="preserve">Total :</w:t>
            </w:r>
          </w:p>
          <w:p>
            <w:r>
              <w:rPr>
                <w:rFonts w:ascii="Consolas" w:cs="Consolas" w:eastAsia="Consolas" w:hAnsi="Consolas"/>
                <w:sz w:val="18"/>
                <w:szCs w:val="18"/>
              </w:rPr>
              <w:t xml:space="preserve">    LOC (lignes de code) : 984</w:t>
            </w:r>
          </w:p>
          <w:p>
            <w:r>
              <w:rPr>
                <w:rFonts w:ascii="Consolas" w:cs="Consolas" w:eastAsia="Consolas" w:hAnsi="Consolas"/>
                <w:sz w:val="18"/>
                <w:szCs w:val="18"/>
              </w:rPr>
              <w:t xml:space="preserve">    Commentaires : 28 lignes ; commentaires + docstrings : 13 % du total (C+M % L)</w:t>
            </w:r>
          </w:p>
        </w:tc>
      </w:tr>
    </w:tbl>
    <w:p>
      <w:pPr>
        <w:spacing w:after="120"/>
      </w:pPr>
    </w:p>
    <w:p>
      <w:pPr>
        <w:spacing w:after="120"/>
      </w:pPr>
      <w:r>
        <w:rPr>
          <w:b/>
          <w:bCs/>
          <w:sz w:val="21"/>
          <w:szCs w:val="21"/>
        </w:rPr>
        <w:t xml:space="preserve">Taux de documentation interne mesuré : 13 %</w:t>
      </w:r>
      <w:r>
        <w:rPr>
          <w:sz w:val="21"/>
          <w:szCs w:val="21"/>
        </w:rPr>
        <w:t xml:space="preserve">, dans la fourchette cible 8–15 % annoncée dans la Partie 2 (Bloc 1 — C2). Rapport complet : </w:t>
      </w:r>
      <w:r>
        <w:rPr>
          <w:rFonts w:ascii="Consolas" w:cs="Consolas" w:eastAsia="Consolas" w:hAnsi="Consolas"/>
          <w:color w:val="1f2937"/>
          <w:sz w:val="19"/>
          <w:szCs w:val="19"/>
        </w:rPr>
        <w:t xml:space="preserve">docs/evidence/radon_cc_output.txt</w:t>
      </w:r>
      <w:r>
        <w:rPr>
          <w:sz w:val="21"/>
          <w:szCs w:val="21"/>
        </w:rPr>
        <w:t xml:space="preserve"> et </w:t>
      </w:r>
      <w:r>
        <w:rPr>
          <w:rFonts w:ascii="Consolas" w:cs="Consolas" w:eastAsia="Consolas" w:hAnsi="Consolas"/>
          <w:color w:val="1f2937"/>
          <w:sz w:val="19"/>
          <w:szCs w:val="19"/>
        </w:rPr>
        <w:t xml:space="preserve">docs/evidence/radon_raw_output.txt</w:t>
      </w:r>
      <w:r>
        <w:rPr>
          <w:sz w:val="21"/>
          <w:szCs w:val="21"/>
        </w:rPr>
        <w:t xml:space="preserve">.</w:t>
      </w:r>
    </w:p>
    <w:p>
      <w:pPr>
        <w:pStyle w:val="Heading2"/>
        <w:spacing w:after="140" w:before="300"/>
      </w:pPr>
      <w:r>
        <w:t xml:space="preserve">Taux de réutilisation</w:t>
      </w:r>
    </w:p>
    <w:p>
      <w:pPr>
        <w:spacing w:after="120"/>
      </w:pPr>
      <w:r>
        <w:rPr>
          <w:sz w:val="21"/>
          <w:szCs w:val="21"/>
        </w:rPr>
        <w:t xml:space="preserve">Les fonctions de validation et d'autorisation sont centralisées dans </w:t>
      </w:r>
      <w:r>
        <w:rPr>
          <w:rFonts w:ascii="Consolas" w:cs="Consolas" w:eastAsia="Consolas" w:hAnsi="Consolas"/>
          <w:color w:val="1f2937"/>
          <w:sz w:val="19"/>
          <w:szCs w:val="19"/>
        </w:rPr>
        <w:t xml:space="preserve">services/auth_service.py</w:t>
      </w:r>
      <w:r>
        <w:rPr>
          <w:sz w:val="21"/>
          <w:szCs w:val="21"/>
        </w:rPr>
        <w:t xml:space="preserve"> (décorateurs </w:t>
      </w:r>
      <w:r>
        <w:rPr>
          <w:rFonts w:ascii="Consolas" w:cs="Consolas" w:eastAsia="Consolas" w:hAnsi="Consolas"/>
          <w:color w:val="1f2937"/>
          <w:sz w:val="19"/>
          <w:szCs w:val="19"/>
        </w:rPr>
        <w:t xml:space="preserve">require_login</w:t>
      </w:r>
      <w:r>
        <w:rPr>
          <w:sz w:val="21"/>
          <w:szCs w:val="21"/>
        </w:rPr>
        <w:t xml:space="preserve">/</w:t>
      </w:r>
      <w:r>
        <w:rPr>
          <w:rFonts w:ascii="Consolas" w:cs="Consolas" w:eastAsia="Consolas" w:hAnsi="Consolas"/>
          <w:color w:val="1f2937"/>
          <w:sz w:val="19"/>
          <w:szCs w:val="19"/>
        </w:rPr>
        <w:t xml:space="preserve">require_admin</w:t>
      </w:r>
      <w:r>
        <w:rPr>
          <w:sz w:val="21"/>
          <w:szCs w:val="21"/>
        </w:rPr>
        <w:t xml:space="preserve">) et réutilisées par les 4 blueprints de routes (</w:t>
      </w:r>
      <w:r>
        <w:rPr>
          <w:rFonts w:ascii="Consolas" w:cs="Consolas" w:eastAsia="Consolas" w:hAnsi="Consolas"/>
          <w:color w:val="1f2937"/>
          <w:sz w:val="19"/>
          <w:szCs w:val="19"/>
        </w:rPr>
        <w:t xml:space="preserve">annonces</w:t>
      </w:r>
      <w:r>
        <w:rPr>
          <w:sz w:val="21"/>
          <w:szCs w:val="21"/>
        </w:rPr>
        <w:t xml:space="preserve">, </w:t>
      </w:r>
      <w:r>
        <w:rPr>
          <w:rFonts w:ascii="Consolas" w:cs="Consolas" w:eastAsia="Consolas" w:hAnsi="Consolas"/>
          <w:color w:val="1f2937"/>
          <w:sz w:val="19"/>
          <w:szCs w:val="19"/>
        </w:rPr>
        <w:t xml:space="preserve">fichiers</w:t>
      </w:r>
      <w:r>
        <w:rPr>
          <w:sz w:val="21"/>
          <w:szCs w:val="21"/>
        </w:rPr>
        <w:t xml:space="preserve">, </w:t>
      </w:r>
      <w:r>
        <w:rPr>
          <w:rFonts w:ascii="Consolas" w:cs="Consolas" w:eastAsia="Consolas" w:hAnsi="Consolas"/>
          <w:color w:val="1f2937"/>
          <w:sz w:val="19"/>
          <w:szCs w:val="19"/>
        </w:rPr>
        <w:t xml:space="preserve">evenements</w:t>
      </w:r>
      <w:r>
        <w:rPr>
          <w:sz w:val="21"/>
          <w:szCs w:val="21"/>
        </w:rPr>
        <w:t xml:space="preserve">, </w:t>
      </w:r>
      <w:r>
        <w:rPr>
          <w:rFonts w:ascii="Consolas" w:cs="Consolas" w:eastAsia="Consolas" w:hAnsi="Consolas"/>
          <w:color w:val="1f2937"/>
          <w:sz w:val="19"/>
          <w:szCs w:val="19"/>
        </w:rPr>
        <w:t xml:space="preserve">dashboard</w:t>
      </w:r>
      <w:r>
        <w:rPr>
          <w:sz w:val="21"/>
          <w:szCs w:val="21"/>
        </w:rPr>
        <w:t xml:space="preserve">). Les 5 modules de </w:t>
      </w:r>
      <w:r>
        <w:rPr>
          <w:rFonts w:ascii="Consolas" w:cs="Consolas" w:eastAsia="Consolas" w:hAnsi="Consolas"/>
          <w:color w:val="1f2937"/>
          <w:sz w:val="19"/>
          <w:szCs w:val="19"/>
        </w:rPr>
        <w:t xml:space="preserve">models/</w:t>
      </w:r>
      <w:r>
        <w:rPr>
          <w:sz w:val="21"/>
          <w:szCs w:val="21"/>
        </w:rPr>
        <w:t xml:space="preserve"> exposent tous la même interface (</w:t>
      </w:r>
      <w:r>
        <w:rPr>
          <w:rFonts w:ascii="Consolas" w:cs="Consolas" w:eastAsia="Consolas" w:hAnsi="Consolas"/>
          <w:color w:val="1f2937"/>
          <w:sz w:val="19"/>
          <w:szCs w:val="19"/>
        </w:rPr>
        <w:t xml:space="preserve">insert</w:t>
      </w:r>
      <w:r>
        <w:rPr>
          <w:sz w:val="21"/>
          <w:szCs w:val="21"/>
        </w:rPr>
        <w:t xml:space="preserve">/</w:t>
      </w:r>
      <w:r>
        <w:rPr>
          <w:rFonts w:ascii="Consolas" w:cs="Consolas" w:eastAsia="Consolas" w:hAnsi="Consolas"/>
          <w:color w:val="1f2937"/>
          <w:sz w:val="19"/>
          <w:szCs w:val="19"/>
        </w:rPr>
        <w:t xml:space="preserve">fetch_all</w:t>
      </w:r>
      <w:r>
        <w:rPr>
          <w:sz w:val="21"/>
          <w:szCs w:val="21"/>
        </w:rPr>
        <w:t xml:space="preserve">/</w:t>
      </w:r>
      <w:r>
        <w:rPr>
          <w:rFonts w:ascii="Consolas" w:cs="Consolas" w:eastAsia="Consolas" w:hAnsi="Consolas"/>
          <w:color w:val="1f2937"/>
          <w:sz w:val="19"/>
          <w:szCs w:val="19"/>
        </w:rPr>
        <w:t xml:space="preserve">get</w:t>
      </w:r>
      <w:r>
        <w:rPr>
          <w:sz w:val="21"/>
          <w:szCs w:val="21"/>
        </w:rPr>
        <w:t xml:space="preserve">/</w:t>
      </w:r>
      <w:r>
        <w:rPr>
          <w:rFonts w:ascii="Consolas" w:cs="Consolas" w:eastAsia="Consolas" w:hAnsi="Consolas"/>
          <w:color w:val="1f2937"/>
          <w:sz w:val="19"/>
          <w:szCs w:val="19"/>
        </w:rPr>
        <w:t xml:space="preserve">delete</w:t>
      </w:r>
      <w:r>
        <w:rPr>
          <w:sz w:val="21"/>
          <w:szCs w:val="21"/>
        </w:rPr>
        <w:t xml:space="preserve">), ce qui a permis d'écrire </w:t>
      </w:r>
      <w:r>
        <w:rPr>
          <w:rFonts w:ascii="Consolas" w:cs="Consolas" w:eastAsia="Consolas" w:hAnsi="Consolas"/>
          <w:color w:val="1f2937"/>
          <w:sz w:val="19"/>
          <w:szCs w:val="19"/>
        </w:rPr>
        <w:t xml:space="preserve">services/</w:t>
      </w:r>
      <w:r>
        <w:rPr>
          <w:sz w:val="21"/>
          <w:szCs w:val="21"/>
        </w:rPr>
        <w:t xml:space="preserve"> sans dupliquer la logique d'accès aux données.</w:t>
      </w:r>
    </w:p>
    <w:p>
      <w:pPr>
        <w:pStyle w:val="Heading2"/>
        <w:spacing w:after="140" w:before="300"/>
      </w:pPr>
      <w:r>
        <w:t xml:space="preserve">Preuve réelle — suite de tests (Bloc 1 — C5, Bloc 3 — C7)</w:t>
      </w:r>
    </w:p>
    <w:p>
      <w:pPr>
        <w:spacing w:after="120"/>
      </w:pPr>
      <w:r>
        <w:rPr>
          <w:sz w:val="21"/>
          <w:szCs w:val="21"/>
        </w:rPr>
        <w:t xml:space="preserve">Commande : </w:t>
      </w:r>
      <w:r>
        <w:rPr>
          <w:rFonts w:ascii="Consolas" w:cs="Consolas" w:eastAsia="Consolas" w:hAnsi="Consolas"/>
          <w:color w:val="1f2937"/>
          <w:sz w:val="19"/>
          <w:szCs w:val="19"/>
        </w:rPr>
        <w:t xml:space="preserve">pytest tests/ -v</w:t>
      </w:r>
      <w:r>
        <w:rPr>
          <w:sz w:val="21"/>
          <w:szCs w:val="21"/>
        </w:rPr>
        <w:t xml:space="preserve"> exécutée contre une véritable base MariaDB 10.11 (et non des mocks) :</w:t>
      </w:r>
    </w:p>
    <w:tbl>
      <w:tblPr>
        <w:tblW w:type="dxa" w:w="9350"/>
        <w:tblBorders>
          <w:top w:val="single" w:color="D1D5DB" w:sz="2"/>
          <w:left w:val="single" w:color="D1D5DB" w:sz="2"/>
          <w:bottom w:val="single" w:color="D1D5DB" w:sz="2"/>
          <w:right w:val="single" w:color="D1D5DB" w:sz="2"/>
          <w:insideH w:val="none"/>
          <w:insideV w:val="none"/>
        </w:tblBorders>
      </w:tblPr>
      <w:tblGrid>
        <w:gridCol w:w="9350"/>
      </w:tblGrid>
      <w:tr>
        <w:tc>
          <w:tcPr>
            <w:tcW w:type="dxa" w:w="9350"/>
            <w:shd w:fill="F3F4F6" w:color="auto" w:val="clear"/>
            <w:tcMar>
              <w:top w:type="dxa" w:w="120"/>
              <w:left w:type="dxa" w:w="160"/>
              <w:bottom w:type="dxa" w:w="120"/>
              <w:right w:type="dxa" w:w="160"/>
            </w:tcMar>
          </w:tcPr>
          <w:p>
            <w:r>
              <w:rPr>
                <w:rFonts w:ascii="Consolas" w:cs="Consolas" w:eastAsia="Consolas" w:hAnsi="Consolas"/>
                <w:sz w:val="18"/>
                <w:szCs w:val="18"/>
              </w:rPr>
              <w:t xml:space="preserve">34 passed in 0.5s</w:t>
            </w:r>
          </w:p>
        </w:tc>
      </w:tr>
    </w:tbl>
    <w:p>
      <w:pPr>
        <w:spacing w:after="120"/>
      </w:pPr>
    </w:p>
    <w:p>
      <w:pPr>
        <w:spacing w:after="120"/>
      </w:pPr>
      <w:r>
        <w:rPr>
          <w:sz w:val="21"/>
          <w:szCs w:val="21"/>
        </w:rPr>
        <w:t xml:space="preserve">Répartition : 22 tests unitaires (UT-01 à UT-12, avec variantes), 11 tests d'intégration (IT-01 à IT-10, avec variante), 6 tests de sécurité (TS-01 à TS-06). Détail complet dans </w:t>
      </w:r>
      <w:r>
        <w:rPr>
          <w:rFonts w:ascii="Consolas" w:cs="Consolas" w:eastAsia="Consolas" w:hAnsi="Consolas"/>
          <w:color w:val="1f2937"/>
          <w:sz w:val="19"/>
          <w:szCs w:val="19"/>
        </w:rPr>
        <w:t xml:space="preserve">docs/evidence/pytest_output.txt</w:t>
      </w:r>
      <w:r>
        <w:rPr>
          <w:sz w:val="21"/>
          <w:szCs w:val="21"/>
        </w:rPr>
        <w:t xml:space="preserve"> et dans la Partie 4 (Plan de tests) du présent dossier.</w:t>
      </w:r>
    </w:p>
    <w:p>
      <w:pPr>
        <w:spacing w:after="120"/>
      </w:pPr>
      <w:r>
        <w:rPr>
          <w:sz w:val="21"/>
          <w:szCs w:val="21"/>
        </w:rPr>
        <w:t xml:space="preserve">Au cours de l'écriture de cette suite, </w:t>
      </w:r>
      <w:r>
        <w:rPr>
          <w:b/>
          <w:bCs/>
          <w:sz w:val="21"/>
          <w:szCs w:val="21"/>
        </w:rPr>
        <w:t xml:space="preserve">3 bugs réels ont été détectés puis corrigés</w:t>
      </w:r>
      <w:r>
        <w:rPr>
          <w:sz w:val="21"/>
          <w:szCs w:val="21"/>
        </w:rPr>
        <w:t xml:space="preserve"> grâce aux tests (et non anticipés à l'écriture du code) : un paramètre par défaut Python évalué à l'import (</w:t>
      </w:r>
      <w:r>
        <w:rPr>
          <w:rFonts w:ascii="Consolas" w:cs="Consolas" w:eastAsia="Consolas" w:hAnsi="Consolas"/>
          <w:color w:val="1f2937"/>
          <w:sz w:val="19"/>
          <w:szCs w:val="19"/>
        </w:rPr>
        <w:t xml:space="preserve">Config.UPLOAD_DIR</w:t>
      </w:r>
      <w:r>
        <w:rPr>
          <w:sz w:val="21"/>
          <w:szCs w:val="21"/>
        </w:rPr>
        <w:t xml:space="preserve">) qui ignorait les redirections de répertoire en test, un blueprint Flask redécoré à chaque création d'application de test, et une confusion entre "argument non fourni" et "argument explicitement </w:t>
      </w:r>
      <w:r>
        <w:rPr>
          <w:rFonts w:ascii="Consolas" w:cs="Consolas" w:eastAsia="Consolas" w:hAnsi="Consolas"/>
          <w:color w:val="1f2937"/>
          <w:sz w:val="19"/>
          <w:szCs w:val="19"/>
        </w:rPr>
        <w:t xml:space="preserve">None</w:t>
      </w:r>
      <w:r>
        <w:rPr>
          <w:sz w:val="21"/>
          <w:szCs w:val="21"/>
        </w:rPr>
        <w:t xml:space="preserve">" dans </w:t>
      </w:r>
      <w:r>
        <w:rPr>
          <w:rFonts w:ascii="Consolas" w:cs="Consolas" w:eastAsia="Consolas" w:hAnsi="Consolas"/>
          <w:color w:val="1f2937"/>
          <w:sz w:val="19"/>
          <w:szCs w:val="19"/>
        </w:rPr>
        <w:t xml:space="preserve">is_admin()</w:t>
      </w:r>
      <w:r>
        <w:rPr>
          <w:sz w:val="21"/>
          <w:szCs w:val="21"/>
        </w:rPr>
        <w:t xml:space="preserve">. Ce sont des exemples concrets de recherche systématique d'erreurs (Bloc 1 — C5) et de débogage (Bloc 3 — C5).</w:t>
      </w:r>
    </w:p>
    <w:p>
      <w:pPr>
        <w:pStyle w:val="Heading1"/>
        <w:pageBreakBefore/>
        <w:spacing w:after="160" w:before="360"/>
      </w:pPr>
      <w:r>
        <w:t xml:space="preserve">Annexe A2 — Estimation de charge</w:t>
      </w:r>
    </w:p>
    <w:p>
      <w:pPr>
        <w:pStyle w:val="Heading2"/>
        <w:spacing w:after="140" w:before="300"/>
      </w:pPr>
      <w:r>
        <w:t xml:space="preserve">4 scénarios d'usage</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1870"/>
        <w:gridCol w:w="1870"/>
        <w:gridCol w:w="1870"/>
        <w:gridCol w:w="1870"/>
        <w:gridCol w:w="1870"/>
      </w:tblGrid>
      <w:tr>
        <w:trPr>
          <w:tblHeader/>
        </w:trPr>
        <w:tc>
          <w:tcPr>
            <w:tcW w:type="dxa" w:w="1870"/>
            <w:shd w:fill="1f2937" w:color="auto" w:val="clear"/>
            <w:tcMar>
              <w:top w:type="dxa" w:w="60"/>
              <w:left w:type="dxa" w:w="100"/>
              <w:bottom w:type="dxa" w:w="60"/>
              <w:right w:type="dxa" w:w="100"/>
            </w:tcMar>
          </w:tcPr>
          <w:p>
            <w:r>
              <w:rPr>
                <w:b/>
                <w:bCs/>
                <w:color w:val="FFFFFF"/>
                <w:sz w:val="19"/>
                <w:szCs w:val="19"/>
              </w:rPr>
              <w:t xml:space="preserve">Scénario</w:t>
            </w:r>
          </w:p>
        </w:tc>
        <w:tc>
          <w:tcPr>
            <w:tcW w:type="dxa" w:w="1870"/>
            <w:shd w:fill="1f2937" w:color="auto" w:val="clear"/>
            <w:tcMar>
              <w:top w:type="dxa" w:w="60"/>
              <w:left w:type="dxa" w:w="100"/>
              <w:bottom w:type="dxa" w:w="60"/>
              <w:right w:type="dxa" w:w="100"/>
            </w:tcMar>
          </w:tcPr>
          <w:p>
            <w:r>
              <w:rPr>
                <w:b/>
                <w:bCs/>
                <w:color w:val="FFFFFF"/>
                <w:sz w:val="19"/>
                <w:szCs w:val="19"/>
              </w:rPr>
              <w:t xml:space="preserve">Utilisateurs simultanés</w:t>
            </w:r>
          </w:p>
        </w:tc>
        <w:tc>
          <w:tcPr>
            <w:tcW w:type="dxa" w:w="1870"/>
            <w:shd w:fill="1f2937" w:color="auto" w:val="clear"/>
            <w:tcMar>
              <w:top w:type="dxa" w:w="60"/>
              <w:left w:type="dxa" w:w="100"/>
              <w:bottom w:type="dxa" w:w="60"/>
              <w:right w:type="dxa" w:w="100"/>
            </w:tcMar>
          </w:tcPr>
          <w:p>
            <w:r>
              <w:rPr>
                <w:b/>
                <w:bCs/>
                <w:color w:val="FFFFFF"/>
                <w:sz w:val="19"/>
                <w:szCs w:val="19"/>
              </w:rPr>
              <w:t xml:space="preserve">Workers Gunicorn</w:t>
            </w:r>
          </w:p>
        </w:tc>
        <w:tc>
          <w:tcPr>
            <w:tcW w:type="dxa" w:w="1870"/>
            <w:shd w:fill="1f2937" w:color="auto" w:val="clear"/>
            <w:tcMar>
              <w:top w:type="dxa" w:w="60"/>
              <w:left w:type="dxa" w:w="100"/>
              <w:bottom w:type="dxa" w:w="60"/>
              <w:right w:type="dxa" w:w="100"/>
            </w:tcMar>
          </w:tcPr>
          <w:p>
            <w:r>
              <w:rPr>
                <w:b/>
                <w:bCs/>
                <w:color w:val="FFFFFF"/>
                <w:sz w:val="19"/>
                <w:szCs w:val="19"/>
              </w:rPr>
              <w:t xml:space="preserve">RAM recommandée</w:t>
            </w:r>
          </w:p>
        </w:tc>
        <w:tc>
          <w:tcPr>
            <w:tcW w:type="dxa" w:w="1870"/>
            <w:shd w:fill="1f2937" w:color="auto" w:val="clear"/>
            <w:tcMar>
              <w:top w:type="dxa" w:w="60"/>
              <w:left w:type="dxa" w:w="100"/>
              <w:bottom w:type="dxa" w:w="60"/>
              <w:right w:type="dxa" w:w="100"/>
            </w:tcMar>
          </w:tcPr>
          <w:p>
            <w:r>
              <w:rPr>
                <w:b/>
                <w:bCs/>
                <w:color w:val="FFFFFF"/>
                <w:sz w:val="19"/>
                <w:szCs w:val="19"/>
              </w:rPr>
              <w:t xml:space="preserve">vCPU</w:t>
            </w:r>
          </w:p>
        </w:tc>
      </w:tr>
      <w:tr>
        <w:trPr>
          <w:tblHeader w:val="false"/>
        </w:trPr>
        <w:tc>
          <w:tcPr>
            <w:tcW w:type="dxa" w:w="1870"/>
            <w:tcMar>
              <w:top w:type="dxa" w:w="60"/>
              <w:left w:type="dxa" w:w="100"/>
              <w:bottom w:type="dxa" w:w="60"/>
              <w:right w:type="dxa" w:w="100"/>
            </w:tcMar>
          </w:tcPr>
          <w:p>
            <w:r>
              <w:rPr>
                <w:sz w:val="21"/>
                <w:szCs w:val="21"/>
              </w:rPr>
              <w:t xml:space="preserve">Développement local</w:t>
            </w:r>
          </w:p>
        </w:tc>
        <w:tc>
          <w:tcPr>
            <w:tcW w:type="dxa" w:w="1870"/>
            <w:tcMar>
              <w:top w:type="dxa" w:w="60"/>
              <w:left w:type="dxa" w:w="100"/>
              <w:bottom w:type="dxa" w:w="60"/>
              <w:right w:type="dxa" w:w="100"/>
            </w:tcMar>
          </w:tcPr>
          <w:p>
            <w:r>
              <w:rPr>
                <w:sz w:val="21"/>
                <w:szCs w:val="21"/>
              </w:rPr>
              <w:t xml:space="preserve">2–5</w:t>
            </w:r>
          </w:p>
        </w:tc>
        <w:tc>
          <w:tcPr>
            <w:tcW w:type="dxa" w:w="1870"/>
            <w:tcMar>
              <w:top w:type="dxa" w:w="60"/>
              <w:left w:type="dxa" w:w="100"/>
              <w:bottom w:type="dxa" w:w="60"/>
              <w:right w:type="dxa" w:w="100"/>
            </w:tcMar>
          </w:tcPr>
          <w:p>
            <w:r>
              <w:rPr>
                <w:sz w:val="21"/>
                <w:szCs w:val="21"/>
              </w:rPr>
              <w:t xml:space="preserve">1 (serveur Flask dev)</w:t>
            </w:r>
          </w:p>
        </w:tc>
        <w:tc>
          <w:tcPr>
            <w:tcW w:type="dxa" w:w="1870"/>
            <w:tcMar>
              <w:top w:type="dxa" w:w="60"/>
              <w:left w:type="dxa" w:w="100"/>
              <w:bottom w:type="dxa" w:w="60"/>
              <w:right w:type="dxa" w:w="100"/>
            </w:tcMar>
          </w:tcPr>
          <w:p>
            <w:r>
              <w:rPr>
                <w:sz w:val="21"/>
                <w:szCs w:val="21"/>
              </w:rPr>
              <w:t xml:space="preserve">512 Mo</w:t>
            </w:r>
          </w:p>
        </w:tc>
        <w:tc>
          <w:tcPr>
            <w:tcW w:type="dxa" w:w="1870"/>
            <w:tcMar>
              <w:top w:type="dxa" w:w="60"/>
              <w:left w:type="dxa" w:w="100"/>
              <w:bottom w:type="dxa" w:w="60"/>
              <w:right w:type="dxa" w:w="100"/>
            </w:tcMar>
          </w:tcPr>
          <w:p>
            <w:r>
              <w:rPr>
                <w:sz w:val="21"/>
                <w:szCs w:val="21"/>
              </w:rPr>
              <w:t xml:space="preserve">1</w:t>
            </w:r>
          </w:p>
        </w:tc>
      </w:tr>
      <w:tr>
        <w:trPr>
          <w:tblHeader w:val="false"/>
        </w:trPr>
        <w:tc>
          <w:tcPr>
            <w:tcW w:type="dxa" w:w="1870"/>
            <w:tcMar>
              <w:top w:type="dxa" w:w="60"/>
              <w:left w:type="dxa" w:w="100"/>
              <w:bottom w:type="dxa" w:w="60"/>
              <w:right w:type="dxa" w:w="100"/>
            </w:tcMar>
          </w:tcPr>
          <w:p>
            <w:r>
              <w:rPr>
                <w:sz w:val="21"/>
                <w:szCs w:val="21"/>
              </w:rPr>
              <w:t xml:space="preserve">Usage promo ydays</w:t>
            </w:r>
          </w:p>
        </w:tc>
        <w:tc>
          <w:tcPr>
            <w:tcW w:type="dxa" w:w="1870"/>
            <w:tcMar>
              <w:top w:type="dxa" w:w="60"/>
              <w:left w:type="dxa" w:w="100"/>
              <w:bottom w:type="dxa" w:w="60"/>
              <w:right w:type="dxa" w:w="100"/>
            </w:tcMar>
          </w:tcPr>
          <w:p>
            <w:r>
              <w:rPr>
                <w:sz w:val="21"/>
                <w:szCs w:val="21"/>
              </w:rPr>
              <w:t xml:space="preserve">10–30</w:t>
            </w:r>
          </w:p>
        </w:tc>
        <w:tc>
          <w:tcPr>
            <w:tcW w:type="dxa" w:w="1870"/>
            <w:tcMar>
              <w:top w:type="dxa" w:w="60"/>
              <w:left w:type="dxa" w:w="100"/>
              <w:bottom w:type="dxa" w:w="60"/>
              <w:right w:type="dxa" w:w="100"/>
            </w:tcMar>
          </w:tcPr>
          <w:p>
            <w:r>
              <w:rPr>
                <w:sz w:val="21"/>
                <w:szCs w:val="21"/>
              </w:rPr>
              <w:t xml:space="preserve">4 (formule 2×2+1≈5, arrondi à 4 threads×2)</w:t>
            </w:r>
          </w:p>
        </w:tc>
        <w:tc>
          <w:tcPr>
            <w:tcW w:type="dxa" w:w="1870"/>
            <w:tcMar>
              <w:top w:type="dxa" w:w="60"/>
              <w:left w:type="dxa" w:w="100"/>
              <w:bottom w:type="dxa" w:w="60"/>
              <w:right w:type="dxa" w:w="100"/>
            </w:tcMar>
          </w:tcPr>
          <w:p>
            <w:r>
              <w:rPr>
                <w:sz w:val="21"/>
                <w:szCs w:val="21"/>
              </w:rPr>
              <w:t xml:space="preserve">1 Go</w:t>
            </w:r>
          </w:p>
        </w:tc>
        <w:tc>
          <w:tcPr>
            <w:tcW w:type="dxa" w:w="1870"/>
            <w:tcMar>
              <w:top w:type="dxa" w:w="60"/>
              <w:left w:type="dxa" w:w="100"/>
              <w:bottom w:type="dxa" w:w="60"/>
              <w:right w:type="dxa" w:w="100"/>
            </w:tcMar>
          </w:tcPr>
          <w:p>
            <w:r>
              <w:rPr>
                <w:sz w:val="21"/>
                <w:szCs w:val="21"/>
              </w:rPr>
              <w:t xml:space="preserve">2</w:t>
            </w:r>
          </w:p>
        </w:tc>
      </w:tr>
      <w:tr>
        <w:trPr>
          <w:tblHeader w:val="false"/>
        </w:trPr>
        <w:tc>
          <w:tcPr>
            <w:tcW w:type="dxa" w:w="1870"/>
            <w:tcMar>
              <w:top w:type="dxa" w:w="60"/>
              <w:left w:type="dxa" w:w="100"/>
              <w:bottom w:type="dxa" w:w="60"/>
              <w:right w:type="dxa" w:w="100"/>
            </w:tcMar>
          </w:tcPr>
          <w:p>
            <w:r>
              <w:rPr>
                <w:sz w:val="21"/>
                <w:szCs w:val="21"/>
              </w:rPr>
              <w:t xml:space="preserve">Déploiement département</w:t>
            </w:r>
          </w:p>
        </w:tc>
        <w:tc>
          <w:tcPr>
            <w:tcW w:type="dxa" w:w="1870"/>
            <w:tcMar>
              <w:top w:type="dxa" w:w="60"/>
              <w:left w:type="dxa" w:w="100"/>
              <w:bottom w:type="dxa" w:w="60"/>
              <w:right w:type="dxa" w:w="100"/>
            </w:tcMar>
          </w:tcPr>
          <w:p>
            <w:r>
              <w:rPr>
                <w:sz w:val="21"/>
                <w:szCs w:val="21"/>
              </w:rPr>
              <w:t xml:space="preserve">50–100</w:t>
            </w:r>
          </w:p>
        </w:tc>
        <w:tc>
          <w:tcPr>
            <w:tcW w:type="dxa" w:w="1870"/>
            <w:tcMar>
              <w:top w:type="dxa" w:w="60"/>
              <w:left w:type="dxa" w:w="100"/>
              <w:bottom w:type="dxa" w:w="60"/>
              <w:right w:type="dxa" w:w="100"/>
            </w:tcMar>
          </w:tcPr>
          <w:p>
            <w:r>
              <w:rPr>
                <w:sz w:val="21"/>
                <w:szCs w:val="21"/>
              </w:rPr>
              <w:t xml:space="preserve">9 (2×4+1)</w:t>
            </w:r>
          </w:p>
        </w:tc>
        <w:tc>
          <w:tcPr>
            <w:tcW w:type="dxa" w:w="1870"/>
            <w:tcMar>
              <w:top w:type="dxa" w:w="60"/>
              <w:left w:type="dxa" w:w="100"/>
              <w:bottom w:type="dxa" w:w="60"/>
              <w:right w:type="dxa" w:w="100"/>
            </w:tcMar>
          </w:tcPr>
          <w:p>
            <w:r>
              <w:rPr>
                <w:sz w:val="21"/>
                <w:szCs w:val="21"/>
              </w:rPr>
              <w:t xml:space="preserve">2 Go</w:t>
            </w:r>
          </w:p>
        </w:tc>
        <w:tc>
          <w:tcPr>
            <w:tcW w:type="dxa" w:w="1870"/>
            <w:tcMar>
              <w:top w:type="dxa" w:w="60"/>
              <w:left w:type="dxa" w:w="100"/>
              <w:bottom w:type="dxa" w:w="60"/>
              <w:right w:type="dxa" w:w="100"/>
            </w:tcMar>
          </w:tcPr>
          <w:p>
            <w:r>
              <w:rPr>
                <w:sz w:val="21"/>
                <w:szCs w:val="21"/>
              </w:rPr>
              <w:t xml:space="preserve">4</w:t>
            </w:r>
          </w:p>
        </w:tc>
      </w:tr>
      <w:tr>
        <w:trPr>
          <w:tblHeader w:val="false"/>
        </w:trPr>
        <w:tc>
          <w:tcPr>
            <w:tcW w:type="dxa" w:w="1870"/>
            <w:tcMar>
              <w:top w:type="dxa" w:w="60"/>
              <w:left w:type="dxa" w:w="100"/>
              <w:bottom w:type="dxa" w:w="60"/>
              <w:right w:type="dxa" w:w="100"/>
            </w:tcMar>
          </w:tcPr>
          <w:p>
            <w:r>
              <w:rPr>
                <w:sz w:val="21"/>
                <w:szCs w:val="21"/>
              </w:rPr>
              <w:t xml:space="preserve">Pic événementiel</w:t>
            </w:r>
          </w:p>
        </w:tc>
        <w:tc>
          <w:tcPr>
            <w:tcW w:type="dxa" w:w="1870"/>
            <w:tcMar>
              <w:top w:type="dxa" w:w="60"/>
              <w:left w:type="dxa" w:w="100"/>
              <w:bottom w:type="dxa" w:w="60"/>
              <w:right w:type="dxa" w:w="100"/>
            </w:tcMar>
          </w:tcPr>
          <w:p>
            <w:r>
              <w:rPr>
                <w:sz w:val="21"/>
                <w:szCs w:val="21"/>
              </w:rPr>
              <w:t xml:space="preserve">100–200</w:t>
            </w:r>
          </w:p>
        </w:tc>
        <w:tc>
          <w:tcPr>
            <w:tcW w:type="dxa" w:w="1870"/>
            <w:tcMar>
              <w:top w:type="dxa" w:w="60"/>
              <w:left w:type="dxa" w:w="100"/>
              <w:bottom w:type="dxa" w:w="60"/>
              <w:right w:type="dxa" w:w="100"/>
            </w:tcMar>
          </w:tcPr>
          <w:p>
            <w:r>
              <w:rPr>
                <w:sz w:val="21"/>
                <w:szCs w:val="21"/>
              </w:rPr>
              <w:t xml:space="preserve">9–17 selon CPU disponible</w:t>
            </w:r>
          </w:p>
        </w:tc>
        <w:tc>
          <w:tcPr>
            <w:tcW w:type="dxa" w:w="1870"/>
            <w:tcMar>
              <w:top w:type="dxa" w:w="60"/>
              <w:left w:type="dxa" w:w="100"/>
              <w:bottom w:type="dxa" w:w="60"/>
              <w:right w:type="dxa" w:w="100"/>
            </w:tcMar>
          </w:tcPr>
          <w:p>
            <w:r>
              <w:rPr>
                <w:sz w:val="21"/>
                <w:szCs w:val="21"/>
              </w:rPr>
              <w:t xml:space="preserve">4 Go</w:t>
            </w:r>
          </w:p>
        </w:tc>
        <w:tc>
          <w:tcPr>
            <w:tcW w:type="dxa" w:w="1870"/>
            <w:tcMar>
              <w:top w:type="dxa" w:w="60"/>
              <w:left w:type="dxa" w:w="100"/>
              <w:bottom w:type="dxa" w:w="60"/>
              <w:right w:type="dxa" w:w="100"/>
            </w:tcMar>
          </w:tcPr>
          <w:p>
            <w:r>
              <w:rPr>
                <w:sz w:val="21"/>
                <w:szCs w:val="21"/>
              </w:rPr>
              <w:t xml:space="preserve">4–8</w:t>
            </w:r>
          </w:p>
        </w:tc>
      </w:tr>
    </w:tbl>
    <w:p>
      <w:pPr>
        <w:spacing w:after="160"/>
      </w:pPr>
    </w:p>
    <w:p>
      <w:pPr>
        <w:pStyle w:val="Heading2"/>
        <w:spacing w:after="140" w:before="300"/>
      </w:pPr>
      <w:r>
        <w:t xml:space="preserve">Formule appliquée</w:t>
      </w:r>
    </w:p>
    <w:p>
      <w:pPr>
        <w:spacing w:after="120"/>
      </w:pPr>
      <w:r>
        <w:rPr>
          <w:rFonts w:ascii="Consolas" w:cs="Consolas" w:eastAsia="Consolas" w:hAnsi="Consolas"/>
          <w:color w:val="1f2937"/>
          <w:sz w:val="19"/>
          <w:szCs w:val="19"/>
        </w:rPr>
        <w:t xml:space="preserve">workers = 2 × CPU + 1</w:t>
      </w:r>
      <w:r>
        <w:rPr>
          <w:sz w:val="21"/>
          <w:szCs w:val="21"/>
        </w:rPr>
        <w:t xml:space="preserve"> (formule standard Gunicorn). Configuration retenue en production : 4 workers, classe </w:t>
      </w:r>
      <w:r>
        <w:rPr>
          <w:rFonts w:ascii="Consolas" w:cs="Consolas" w:eastAsia="Consolas" w:hAnsi="Consolas"/>
          <w:color w:val="1f2937"/>
          <w:sz w:val="19"/>
          <w:szCs w:val="19"/>
        </w:rPr>
        <w:t xml:space="preserve">gthread</w:t>
      </w:r>
      <w:r>
        <w:rPr>
          <w:sz w:val="21"/>
          <w:szCs w:val="21"/>
        </w:rPr>
        <w:t xml:space="preserve">, 2 threads par worker (</w:t>
      </w:r>
      <w:r>
        <w:rPr>
          <w:rFonts w:ascii="Consolas" w:cs="Consolas" w:eastAsia="Consolas" w:hAnsi="Consolas"/>
          <w:color w:val="1f2937"/>
          <w:sz w:val="19"/>
          <w:szCs w:val="19"/>
        </w:rPr>
        <w:t xml:space="preserve">web/Dockerfile</w:t>
      </w:r>
      <w:r>
        <w:rPr>
          <w:sz w:val="21"/>
          <w:szCs w:val="21"/>
        </w:rPr>
        <w:t xml:space="preserve"> : </w:t>
      </w:r>
      <w:r>
        <w:rPr>
          <w:rFonts w:ascii="Consolas" w:cs="Consolas" w:eastAsia="Consolas" w:hAnsi="Consolas"/>
          <w:color w:val="1f2937"/>
          <w:sz w:val="19"/>
          <w:szCs w:val="19"/>
        </w:rPr>
        <w:t xml:space="preserve">gunicorn --workers=4 --worker-class=gthread --threads=2 --bind=0.0.0.0:5000 app:app</w:t>
      </w:r>
      <w:r>
        <w:rPr>
          <w:sz w:val="21"/>
          <w:szCs w:val="21"/>
        </w:rPr>
        <w:t xml:space="preserve">), dimensionnée pour le scénario « usage promo ydays », le plus représentatif de l'usage réel actuel du projet.</w:t>
      </w:r>
    </w:p>
    <w:p>
      <w:pPr>
        <w:pStyle w:val="Heading2"/>
        <w:spacing w:after="140" w:before="300"/>
      </w:pPr>
      <w:r>
        <w:t xml:space="preserve">Disponibilité</w:t>
      </w:r>
    </w:p>
    <w:p>
      <w:pPr>
        <w:spacing w:after="120"/>
      </w:pPr>
      <w:r>
        <w:rPr>
          <w:rFonts w:ascii="Consolas" w:cs="Consolas" w:eastAsia="Consolas" w:hAnsi="Consolas"/>
          <w:color w:val="1f2937"/>
          <w:sz w:val="19"/>
          <w:szCs w:val="19"/>
        </w:rPr>
        <w:t xml:space="preserve">restart: unless-stopped</w:t>
      </w:r>
      <w:r>
        <w:rPr>
          <w:sz w:val="21"/>
          <w:szCs w:val="21"/>
        </w:rPr>
        <w:t xml:space="preserve"> sur tous les services Docker (redémarrage automatique en cas de crash), healthcheck MariaDB avec 6 tentatives espacées de 10 s avant que Flask ne tente de se connecter (</w:t>
      </w:r>
      <w:r>
        <w:rPr>
          <w:rFonts w:ascii="Consolas" w:cs="Consolas" w:eastAsia="Consolas" w:hAnsi="Consolas"/>
          <w:color w:val="1f2937"/>
          <w:sz w:val="19"/>
          <w:szCs w:val="19"/>
        </w:rPr>
        <w:t xml:space="preserve">depends_on: condition: service_healthy</w:t>
      </w:r>
      <w:r>
        <w:rPr>
          <w:sz w:val="21"/>
          <w:szCs w:val="21"/>
        </w:rPr>
        <w:t xml:space="preserve"> dans </w:t>
      </w:r>
      <w:r>
        <w:rPr>
          <w:rFonts w:ascii="Consolas" w:cs="Consolas" w:eastAsia="Consolas" w:hAnsi="Consolas"/>
          <w:color w:val="1f2937"/>
          <w:sz w:val="19"/>
          <w:szCs w:val="19"/>
        </w:rPr>
        <w:t xml:space="preserve">docker-compose.yml</w:t>
      </w:r>
      <w:r>
        <w:rPr>
          <w:sz w:val="21"/>
          <w:szCs w:val="21"/>
        </w:rPr>
        <w:t xml:space="preserve">), TLS/HTTP2 géré automatiquement par Caddy (renouvellement Let's Encrypt sans intervention).</w:t>
      </w:r>
    </w:p>
    <w:p>
      <w:pPr>
        <w:pStyle w:val="Heading1"/>
        <w:pageBreakBefore/>
        <w:spacing w:after="160" w:before="360"/>
      </w:pPr>
      <w:r>
        <w:t xml:space="preserve">Partie 3 — DevOps (infrastructure, déploiement, exploitation)</w:t>
      </w:r>
    </w:p>
    <w:p>
      <w:pPr>
        <w:pStyle w:val="Heading2"/>
        <w:spacing w:after="140" w:before="300"/>
      </w:pPr>
      <w:r>
        <w:t xml:space="preserve">Infrastructure as Code</w:t>
      </w:r>
    </w:p>
    <w:p>
      <w:pPr>
        <w:spacing w:after="120"/>
      </w:pPr>
      <w:r>
        <w:rPr>
          <w:rFonts w:ascii="Consolas" w:cs="Consolas" w:eastAsia="Consolas" w:hAnsi="Consolas"/>
          <w:color w:val="1f2937"/>
          <w:sz w:val="19"/>
          <w:szCs w:val="19"/>
        </w:rPr>
        <w:t xml:space="preserve">docker-compose.yml</w:t>
      </w:r>
      <w:r>
        <w:rPr>
          <w:sz w:val="21"/>
          <w:szCs w:val="21"/>
        </w:rPr>
        <w:t xml:space="preserve"> décrit l'état désiré de l'infrastructure complète : 7 services (caddy, flask, mariadb, keycloak, keycloak-db, mattermost, mattermost-db), 1 réseau interne (</w:t>
      </w:r>
      <w:r>
        <w:rPr>
          <w:rFonts w:ascii="Consolas" w:cs="Consolas" w:eastAsia="Consolas" w:hAnsi="Consolas"/>
          <w:color w:val="1f2937"/>
          <w:sz w:val="19"/>
          <w:szCs w:val="19"/>
        </w:rPr>
        <w:t xml:space="preserve">gesthub-net</w:t>
      </w:r>
      <w:r>
        <w:rPr>
          <w:sz w:val="21"/>
          <w:szCs w:val="21"/>
        </w:rPr>
        <w:t xml:space="preserve">), 7 volumes persistants. Seul </w:t>
      </w:r>
      <w:r>
        <w:rPr>
          <w:rFonts w:ascii="Consolas" w:cs="Consolas" w:eastAsia="Consolas" w:hAnsi="Consolas"/>
          <w:color w:val="1f2937"/>
          <w:sz w:val="19"/>
          <w:szCs w:val="19"/>
        </w:rPr>
        <w:t xml:space="preserve">caddy</w:t>
      </w:r>
      <w:r>
        <w:rPr>
          <w:sz w:val="21"/>
          <w:szCs w:val="21"/>
        </w:rPr>
        <w:t xml:space="preserve"> publie des ports (80/443) — tous les autres services communiquent uniquement via le réseau Docker interne (vérifié par le test automatisé TS-06, qui parse le fichier et échoue si un autre service déclare une clé </w:t>
      </w:r>
      <w:r>
        <w:rPr>
          <w:rFonts w:ascii="Consolas" w:cs="Consolas" w:eastAsia="Consolas" w:hAnsi="Consolas"/>
          <w:color w:val="1f2937"/>
          <w:sz w:val="19"/>
          <w:szCs w:val="19"/>
        </w:rPr>
        <w:t xml:space="preserve">ports</w:t>
      </w:r>
      <w:r>
        <w:rPr>
          <w:sz w:val="21"/>
          <w:szCs w:val="21"/>
        </w:rPr>
        <w:t xml:space="preserve">).</w:t>
      </w:r>
    </w:p>
    <w:p>
      <w:pPr>
        <w:pStyle w:val="Heading2"/>
        <w:spacing w:after="140" w:before="300"/>
      </w:pPr>
      <w:r>
        <w:t xml:space="preserve">Procédure de déploiement</w:t>
      </w:r>
    </w:p>
    <w:tbl>
      <w:tblPr>
        <w:tblW w:type="dxa" w:w="9350"/>
        <w:tblBorders>
          <w:top w:val="single" w:color="D1D5DB" w:sz="2"/>
          <w:left w:val="single" w:color="D1D5DB" w:sz="2"/>
          <w:bottom w:val="single" w:color="D1D5DB" w:sz="2"/>
          <w:right w:val="single" w:color="D1D5DB" w:sz="2"/>
          <w:insideH w:val="none"/>
          <w:insideV w:val="none"/>
        </w:tblBorders>
      </w:tblPr>
      <w:tblGrid>
        <w:gridCol w:w="9350"/>
      </w:tblGrid>
      <w:tr>
        <w:tc>
          <w:tcPr>
            <w:tcW w:type="dxa" w:w="9350"/>
            <w:shd w:fill="F3F4F6" w:color="auto" w:val="clear"/>
            <w:tcMar>
              <w:top w:type="dxa" w:w="120"/>
              <w:left w:type="dxa" w:w="160"/>
              <w:bottom w:type="dxa" w:w="120"/>
              <w:right w:type="dxa" w:w="160"/>
            </w:tcMar>
          </w:tcPr>
          <w:p>
            <w:r>
              <w:rPr>
                <w:rFonts w:ascii="Consolas" w:cs="Consolas" w:eastAsia="Consolas" w:hAnsi="Consolas"/>
                <w:sz w:val="18"/>
                <w:szCs w:val="18"/>
              </w:rPr>
              <w:t xml:space="preserve">git clone &lt;repo&gt;</w:t>
            </w:r>
          </w:p>
          <w:p>
            <w:r>
              <w:rPr>
                <w:rFonts w:ascii="Consolas" w:cs="Consolas" w:eastAsia="Consolas" w:hAnsi="Consolas"/>
                <w:sz w:val="18"/>
                <w:szCs w:val="18"/>
              </w:rPr>
              <w:t xml:space="preserve">cd gesthub</w:t>
            </w:r>
          </w:p>
          <w:p>
            <w:r>
              <w:rPr>
                <w:rFonts w:ascii="Consolas" w:cs="Consolas" w:eastAsia="Consolas" w:hAnsi="Consolas"/>
                <w:sz w:val="18"/>
                <w:szCs w:val="18"/>
              </w:rPr>
              <w:t xml:space="preserve">cp web/.env.example web/.env   # renseigner les secrets réels</w:t>
            </w:r>
          </w:p>
          <w:p>
            <w:r>
              <w:rPr>
                <w:rFonts w:ascii="Consolas" w:cs="Consolas" w:eastAsia="Consolas" w:hAnsi="Consolas"/>
                <w:sz w:val="18"/>
                <w:szCs w:val="18"/>
              </w:rPr>
              <w:t xml:space="preserve">docker compose up -d --build</w:t>
            </w:r>
          </w:p>
          <w:p>
            <w:r>
              <w:rPr>
                <w:rFonts w:ascii="Consolas" w:cs="Consolas" w:eastAsia="Consolas" w:hAnsi="Consolas"/>
                <w:sz w:val="18"/>
                <w:szCs w:val="18"/>
              </w:rPr>
              <w:t xml:space="preserve">docker compose logs -f flask   # vérifier le démarrage</w:t>
            </w:r>
          </w:p>
        </w:tc>
      </w:tr>
    </w:tbl>
    <w:p>
      <w:pPr>
        <w:spacing w:after="120"/>
      </w:pPr>
    </w:p>
    <w:p>
      <w:pPr>
        <w:spacing w:after="120"/>
      </w:pPr>
      <w:r>
        <w:rPr>
          <w:b/>
          <w:bCs/>
          <w:sz w:val="21"/>
          <w:szCs w:val="21"/>
        </w:rPr>
        <w:t xml:space="preserve">Avant / après</w:t>
      </w:r>
      <w:r>
        <w:rPr>
          <w:sz w:val="21"/>
          <w:szCs w:val="21"/>
        </w:rPr>
        <w:t xml:space="preserve"> (réingénierie de processus, Bloc 2 — C2) :</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3116"/>
        <w:gridCol w:w="3116"/>
        <w:gridCol w:w="3116"/>
      </w:tblGrid>
      <w:tr>
        <w:trPr>
          <w:tblHeader/>
        </w:trPr>
        <w:tc>
          <w:tcPr>
            <w:tcW w:type="dxa" w:w="3116"/>
            <w:shd w:fill="1f2937" w:color="auto" w:val="clear"/>
            <w:tcMar>
              <w:top w:type="dxa" w:w="60"/>
              <w:left w:type="dxa" w:w="100"/>
              <w:bottom w:type="dxa" w:w="60"/>
              <w:right w:type="dxa" w:w="100"/>
            </w:tcMar>
          </w:tcPr>
          <w:p>
            <w:r>
              <w:rPr>
                <w:b/>
                <w:bCs/>
                <w:color w:val="FFFFFF"/>
                <w:sz w:val="19"/>
                <w:szCs w:val="19"/>
              </w:rPr>
              <w:t xml:space="preserve"/>
            </w:r>
          </w:p>
        </w:tc>
        <w:tc>
          <w:tcPr>
            <w:tcW w:type="dxa" w:w="3116"/>
            <w:shd w:fill="1f2937" w:color="auto" w:val="clear"/>
            <w:tcMar>
              <w:top w:type="dxa" w:w="60"/>
              <w:left w:type="dxa" w:w="100"/>
              <w:bottom w:type="dxa" w:w="60"/>
              <w:right w:type="dxa" w:w="100"/>
            </w:tcMar>
          </w:tcPr>
          <w:p>
            <w:r>
              <w:rPr>
                <w:b/>
                <w:bCs/>
                <w:color w:val="FFFFFF"/>
                <w:sz w:val="19"/>
                <w:szCs w:val="19"/>
              </w:rPr>
              <w:t xml:space="preserve">Avant (mai 2025)</w:t>
            </w:r>
          </w:p>
        </w:tc>
        <w:tc>
          <w:tcPr>
            <w:tcW w:type="dxa" w:w="3116"/>
            <w:shd w:fill="1f2937" w:color="auto" w:val="clear"/>
            <w:tcMar>
              <w:top w:type="dxa" w:w="60"/>
              <w:left w:type="dxa" w:w="100"/>
              <w:bottom w:type="dxa" w:w="60"/>
              <w:right w:type="dxa" w:w="100"/>
            </w:tcMar>
          </w:tcPr>
          <w:p>
            <w:r>
              <w:rPr>
                <w:b/>
                <w:bCs/>
                <w:color w:val="FFFFFF"/>
                <w:sz w:val="19"/>
                <w:szCs w:val="19"/>
              </w:rPr>
              <w:t xml:space="preserve">Après</w:t>
            </w:r>
          </w:p>
        </w:tc>
      </w:tr>
      <w:tr>
        <w:trPr>
          <w:tblHeader w:val="false"/>
        </w:trPr>
        <w:tc>
          <w:tcPr>
            <w:tcW w:type="dxa" w:w="3116"/>
            <w:tcMar>
              <w:top w:type="dxa" w:w="60"/>
              <w:left w:type="dxa" w:w="100"/>
              <w:bottom w:type="dxa" w:w="60"/>
              <w:right w:type="dxa" w:w="100"/>
            </w:tcMar>
          </w:tcPr>
          <w:p>
            <w:r>
              <w:rPr>
                <w:sz w:val="21"/>
                <w:szCs w:val="21"/>
              </w:rPr>
              <w:t xml:space="preserve">Déploiement</w:t>
            </w:r>
          </w:p>
        </w:tc>
        <w:tc>
          <w:tcPr>
            <w:tcW w:type="dxa" w:w="3116"/>
            <w:tcMar>
              <w:top w:type="dxa" w:w="60"/>
              <w:left w:type="dxa" w:w="100"/>
              <w:bottom w:type="dxa" w:w="60"/>
              <w:right w:type="dxa" w:w="100"/>
            </w:tcMar>
          </w:tcPr>
          <w:p>
            <w:r>
              <w:rPr>
                <w:sz w:val="21"/>
                <w:szCs w:val="21"/>
              </w:rPr>
              <w:t xml:space="preserve">Copie manuelle SSH, redémarrage serveur</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docker compose up -d</w:t>
            </w:r>
          </w:p>
        </w:tc>
      </w:tr>
      <w:tr>
        <w:trPr>
          <w:tblHeader w:val="false"/>
        </w:trPr>
        <w:tc>
          <w:tcPr>
            <w:tcW w:type="dxa" w:w="3116"/>
            <w:tcMar>
              <w:top w:type="dxa" w:w="60"/>
              <w:left w:type="dxa" w:w="100"/>
              <w:bottom w:type="dxa" w:w="60"/>
              <w:right w:type="dxa" w:w="100"/>
            </w:tcMar>
          </w:tcPr>
          <w:p>
            <w:r>
              <w:rPr>
                <w:sz w:val="21"/>
                <w:szCs w:val="21"/>
              </w:rPr>
              <w:t xml:space="preserve">Durée</w:t>
            </w:r>
          </w:p>
        </w:tc>
        <w:tc>
          <w:tcPr>
            <w:tcW w:type="dxa" w:w="3116"/>
            <w:tcMar>
              <w:top w:type="dxa" w:w="60"/>
              <w:left w:type="dxa" w:w="100"/>
              <w:bottom w:type="dxa" w:w="60"/>
              <w:right w:type="dxa" w:w="100"/>
            </w:tcMar>
          </w:tcPr>
          <w:p>
            <w:r>
              <w:rPr>
                <w:sz w:val="21"/>
                <w:szCs w:val="21"/>
              </w:rPr>
              <w:t xml:space="preserve">30 à 60 min</w:t>
            </w:r>
          </w:p>
        </w:tc>
        <w:tc>
          <w:tcPr>
            <w:tcW w:type="dxa" w:w="3116"/>
            <w:tcMar>
              <w:top w:type="dxa" w:w="60"/>
              <w:left w:type="dxa" w:w="100"/>
              <w:bottom w:type="dxa" w:w="60"/>
              <w:right w:type="dxa" w:w="100"/>
            </w:tcMar>
          </w:tcPr>
          <w:p>
            <w:r>
              <w:rPr>
                <w:sz w:val="21"/>
                <w:szCs w:val="21"/>
              </w:rPr>
              <w:t xml:space="preserve">&lt; 5 min</w:t>
            </w:r>
          </w:p>
        </w:tc>
      </w:tr>
      <w:tr>
        <w:trPr>
          <w:tblHeader w:val="false"/>
        </w:trPr>
        <w:tc>
          <w:tcPr>
            <w:tcW w:type="dxa" w:w="3116"/>
            <w:tcMar>
              <w:top w:type="dxa" w:w="60"/>
              <w:left w:type="dxa" w:w="100"/>
              <w:bottom w:type="dxa" w:w="60"/>
              <w:right w:type="dxa" w:w="100"/>
            </w:tcMar>
          </w:tcPr>
          <w:p>
            <w:r>
              <w:rPr>
                <w:sz w:val="21"/>
                <w:szCs w:val="21"/>
              </w:rPr>
              <w:t xml:space="preserve">Reproductibilité</w:t>
            </w:r>
          </w:p>
        </w:tc>
        <w:tc>
          <w:tcPr>
            <w:tcW w:type="dxa" w:w="3116"/>
            <w:tcMar>
              <w:top w:type="dxa" w:w="60"/>
              <w:left w:type="dxa" w:w="100"/>
              <w:bottom w:type="dxa" w:w="60"/>
              <w:right w:type="dxa" w:w="100"/>
            </w:tcMar>
          </w:tcPr>
          <w:p>
            <w:r>
              <w:rPr>
                <w:sz w:val="21"/>
                <w:szCs w:val="21"/>
              </w:rPr>
              <w:t xml:space="preserve">Dépend de la mémoire de l'opérateur</w:t>
            </w:r>
          </w:p>
        </w:tc>
        <w:tc>
          <w:tcPr>
            <w:tcW w:type="dxa" w:w="3116"/>
            <w:tcMar>
              <w:top w:type="dxa" w:w="60"/>
              <w:left w:type="dxa" w:w="100"/>
              <w:bottom w:type="dxa" w:w="60"/>
              <w:right w:type="dxa" w:w="100"/>
            </w:tcMar>
          </w:tcPr>
          <w:p>
            <w:r>
              <w:rPr>
                <w:sz w:val="21"/>
                <w:szCs w:val="21"/>
              </w:rPr>
              <w:t xml:space="preserve">Totale (fichier versionné)</w:t>
            </w:r>
          </w:p>
        </w:tc>
      </w:tr>
    </w:tbl>
    <w:p>
      <w:pPr>
        <w:spacing w:after="160"/>
      </w:pPr>
    </w:p>
    <w:p>
      <w:pPr>
        <w:pStyle w:val="Heading2"/>
        <w:spacing w:after="140" w:before="300"/>
      </w:pPr>
      <w:r>
        <w:t xml:space="preserve">Procédure de mise en exploitation (checklist TD)</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3116"/>
        <w:gridCol w:w="3116"/>
        <w:gridCol w:w="3116"/>
      </w:tblGrid>
      <w:tr>
        <w:trPr>
          <w:tblHeader/>
        </w:trPr>
        <w:tc>
          <w:tcPr>
            <w:tcW w:type="dxa" w:w="3116"/>
            <w:shd w:fill="1f2937" w:color="auto" w:val="clear"/>
            <w:tcMar>
              <w:top w:type="dxa" w:w="60"/>
              <w:left w:type="dxa" w:w="100"/>
              <w:bottom w:type="dxa" w:w="60"/>
              <w:right w:type="dxa" w:w="100"/>
            </w:tcMar>
          </w:tcPr>
          <w:p>
            <w:r>
              <w:rPr>
                <w:b/>
                <w:bCs/>
                <w:color w:val="FFFFFF"/>
                <w:sz w:val="19"/>
                <w:szCs w:val="19"/>
              </w:rPr>
              <w:t xml:space="preserve">ID</w:t>
            </w:r>
          </w:p>
        </w:tc>
        <w:tc>
          <w:tcPr>
            <w:tcW w:type="dxa" w:w="3116"/>
            <w:shd w:fill="1f2937" w:color="auto" w:val="clear"/>
            <w:tcMar>
              <w:top w:type="dxa" w:w="60"/>
              <w:left w:type="dxa" w:w="100"/>
              <w:bottom w:type="dxa" w:w="60"/>
              <w:right w:type="dxa" w:w="100"/>
            </w:tcMar>
          </w:tcPr>
          <w:p>
            <w:r>
              <w:rPr>
                <w:b/>
                <w:bCs/>
                <w:color w:val="FFFFFF"/>
                <w:sz w:val="19"/>
                <w:szCs w:val="19"/>
              </w:rPr>
              <w:t xml:space="preserve">Vérification</w:t>
            </w:r>
          </w:p>
        </w:tc>
        <w:tc>
          <w:tcPr>
            <w:tcW w:type="dxa" w:w="3116"/>
            <w:shd w:fill="1f2937" w:color="auto" w:val="clear"/>
            <w:tcMar>
              <w:top w:type="dxa" w:w="60"/>
              <w:left w:type="dxa" w:w="100"/>
              <w:bottom w:type="dxa" w:w="60"/>
              <w:right w:type="dxa" w:w="100"/>
            </w:tcMar>
          </w:tcPr>
          <w:p>
            <w:r>
              <w:rPr>
                <w:b/>
                <w:bCs/>
                <w:color w:val="FFFFFF"/>
                <w:sz w:val="19"/>
                <w:szCs w:val="19"/>
              </w:rPr>
              <w:t xml:space="preserve">Méthode</w:t>
            </w:r>
          </w:p>
        </w:tc>
      </w:tr>
      <w:tr>
        <w:trPr>
          <w:tblHeader w:val="false"/>
        </w:trPr>
        <w:tc>
          <w:tcPr>
            <w:tcW w:type="dxa" w:w="3116"/>
            <w:tcMar>
              <w:top w:type="dxa" w:w="60"/>
              <w:left w:type="dxa" w:w="100"/>
              <w:bottom w:type="dxa" w:w="60"/>
              <w:right w:type="dxa" w:w="100"/>
            </w:tcMar>
          </w:tcPr>
          <w:p>
            <w:r>
              <w:rPr>
                <w:sz w:val="21"/>
                <w:szCs w:val="21"/>
              </w:rPr>
              <w:t xml:space="preserve">TD-01</w:t>
            </w:r>
          </w:p>
        </w:tc>
        <w:tc>
          <w:tcPr>
            <w:tcW w:type="dxa" w:w="3116"/>
            <w:tcMar>
              <w:top w:type="dxa" w:w="60"/>
              <w:left w:type="dxa" w:w="100"/>
              <w:bottom w:type="dxa" w:w="60"/>
              <w:right w:type="dxa" w:w="100"/>
            </w:tcMar>
          </w:tcPr>
          <w:p>
            <w:r>
              <w:rPr>
                <w:sz w:val="21"/>
                <w:szCs w:val="21"/>
              </w:rPr>
              <w:t xml:space="preserve">Tous les conteneurs sont </w:t>
            </w:r>
            <w:r>
              <w:rPr>
                <w:rFonts w:ascii="Consolas" w:cs="Consolas" w:eastAsia="Consolas" w:hAnsi="Consolas"/>
                <w:color w:val="1f2937"/>
                <w:sz w:val="19"/>
                <w:szCs w:val="19"/>
              </w:rPr>
              <w:t xml:space="preserve">Up</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docker compose ps</w:t>
            </w:r>
          </w:p>
        </w:tc>
      </w:tr>
      <w:tr>
        <w:trPr>
          <w:tblHeader w:val="false"/>
        </w:trPr>
        <w:tc>
          <w:tcPr>
            <w:tcW w:type="dxa" w:w="3116"/>
            <w:tcMar>
              <w:top w:type="dxa" w:w="60"/>
              <w:left w:type="dxa" w:w="100"/>
              <w:bottom w:type="dxa" w:w="60"/>
              <w:right w:type="dxa" w:w="100"/>
            </w:tcMar>
          </w:tcPr>
          <w:p>
            <w:r>
              <w:rPr>
                <w:sz w:val="21"/>
                <w:szCs w:val="21"/>
              </w:rPr>
              <w:t xml:space="preserve">TD-02</w:t>
            </w:r>
          </w:p>
        </w:tc>
        <w:tc>
          <w:tcPr>
            <w:tcW w:type="dxa" w:w="3116"/>
            <w:tcMar>
              <w:top w:type="dxa" w:w="60"/>
              <w:left w:type="dxa" w:w="100"/>
              <w:bottom w:type="dxa" w:w="60"/>
              <w:right w:type="dxa" w:w="100"/>
            </w:tcMar>
          </w:tcPr>
          <w:p>
            <w:r>
              <w:rPr>
                <w:sz w:val="21"/>
                <w:szCs w:val="21"/>
              </w:rPr>
              <w:t xml:space="preserve">Healthcheck MariaDB au vert</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docker compose ps</w:t>
            </w:r>
            <w:r>
              <w:rPr>
                <w:sz w:val="21"/>
                <w:szCs w:val="21"/>
              </w:rPr>
              <w:t xml:space="preserve"> (colonne STATUS)</w:t>
            </w:r>
          </w:p>
        </w:tc>
      </w:tr>
      <w:tr>
        <w:trPr>
          <w:tblHeader w:val="false"/>
        </w:trPr>
        <w:tc>
          <w:tcPr>
            <w:tcW w:type="dxa" w:w="3116"/>
            <w:tcMar>
              <w:top w:type="dxa" w:w="60"/>
              <w:left w:type="dxa" w:w="100"/>
              <w:bottom w:type="dxa" w:w="60"/>
              <w:right w:type="dxa" w:w="100"/>
            </w:tcMar>
          </w:tcPr>
          <w:p>
            <w:r>
              <w:rPr>
                <w:sz w:val="21"/>
                <w:szCs w:val="21"/>
              </w:rPr>
              <w:t xml:space="preserve">TD-03</w:t>
            </w:r>
          </w:p>
        </w:tc>
        <w:tc>
          <w:tcPr>
            <w:tcW w:type="dxa" w:w="3116"/>
            <w:tcMar>
              <w:top w:type="dxa" w:w="60"/>
              <w:left w:type="dxa" w:w="100"/>
              <w:bottom w:type="dxa" w:w="60"/>
              <w:right w:type="dxa" w:w="100"/>
            </w:tcMar>
          </w:tcPr>
          <w:p>
            <w:r>
              <w:rPr>
                <w:sz w:val="21"/>
                <w:szCs w:val="21"/>
              </w:rPr>
              <w:t xml:space="preserve">HTTPS répond (redirection HTTP→HTTPS)</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curl -I https://dashboard.ninolbt.com</w:t>
            </w:r>
          </w:p>
        </w:tc>
      </w:tr>
      <w:tr>
        <w:trPr>
          <w:tblHeader w:val="false"/>
        </w:trPr>
        <w:tc>
          <w:tcPr>
            <w:tcW w:type="dxa" w:w="3116"/>
            <w:tcMar>
              <w:top w:type="dxa" w:w="60"/>
              <w:left w:type="dxa" w:w="100"/>
              <w:bottom w:type="dxa" w:w="60"/>
              <w:right w:type="dxa" w:w="100"/>
            </w:tcMar>
          </w:tcPr>
          <w:p>
            <w:r>
              <w:rPr>
                <w:sz w:val="21"/>
                <w:szCs w:val="21"/>
              </w:rPr>
              <w:t xml:space="preserve">TD-04</w:t>
            </w:r>
          </w:p>
        </w:tc>
        <w:tc>
          <w:tcPr>
            <w:tcW w:type="dxa" w:w="3116"/>
            <w:tcMar>
              <w:top w:type="dxa" w:w="60"/>
              <w:left w:type="dxa" w:w="100"/>
              <w:bottom w:type="dxa" w:w="60"/>
              <w:right w:type="dxa" w:w="100"/>
            </w:tcMar>
          </w:tcPr>
          <w:p>
            <w:r>
              <w:rPr>
                <w:sz w:val="21"/>
                <w:szCs w:val="21"/>
              </w:rPr>
              <w:t xml:space="preserve">SSO Keycloak fonctionnel</w:t>
            </w:r>
          </w:p>
        </w:tc>
        <w:tc>
          <w:tcPr>
            <w:tcW w:type="dxa" w:w="3116"/>
            <w:tcMar>
              <w:top w:type="dxa" w:w="60"/>
              <w:left w:type="dxa" w:w="100"/>
              <w:bottom w:type="dxa" w:w="60"/>
              <w:right w:type="dxa" w:w="100"/>
            </w:tcMar>
          </w:tcPr>
          <w:p>
            <w:r>
              <w:rPr>
                <w:sz w:val="21"/>
                <w:szCs w:val="21"/>
              </w:rPr>
              <w:t xml:space="preserve">Connexion manuelle de bout en bout</w:t>
            </w:r>
          </w:p>
        </w:tc>
      </w:tr>
      <w:tr>
        <w:trPr>
          <w:tblHeader w:val="false"/>
        </w:trPr>
        <w:tc>
          <w:tcPr>
            <w:tcW w:type="dxa" w:w="3116"/>
            <w:tcMar>
              <w:top w:type="dxa" w:w="60"/>
              <w:left w:type="dxa" w:w="100"/>
              <w:bottom w:type="dxa" w:w="60"/>
              <w:right w:type="dxa" w:w="100"/>
            </w:tcMar>
          </w:tcPr>
          <w:p>
            <w:r>
              <w:rPr>
                <w:sz w:val="21"/>
                <w:szCs w:val="21"/>
              </w:rPr>
              <w:t xml:space="preserve">TD-05</w:t>
            </w:r>
          </w:p>
        </w:tc>
        <w:tc>
          <w:tcPr>
            <w:tcW w:type="dxa" w:w="3116"/>
            <w:tcMar>
              <w:top w:type="dxa" w:w="60"/>
              <w:left w:type="dxa" w:w="100"/>
              <w:bottom w:type="dxa" w:w="60"/>
              <w:right w:type="dxa" w:w="100"/>
            </w:tcMar>
          </w:tcPr>
          <w:p>
            <w:r>
              <w:rPr>
                <w:sz w:val="21"/>
                <w:szCs w:val="21"/>
              </w:rPr>
              <w:t xml:space="preserve">Persistance des données après redémarrage</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docker compose restart mariadb</w:t>
            </w:r>
            <w:r>
              <w:rPr>
                <w:sz w:val="21"/>
                <w:szCs w:val="21"/>
              </w:rPr>
              <w:t xml:space="preserve"> puis vérification des annonces existantes</w:t>
            </w:r>
          </w:p>
        </w:tc>
      </w:tr>
      <w:tr>
        <w:trPr>
          <w:tblHeader w:val="false"/>
        </w:trPr>
        <w:tc>
          <w:tcPr>
            <w:tcW w:type="dxa" w:w="3116"/>
            <w:tcMar>
              <w:top w:type="dxa" w:w="60"/>
              <w:left w:type="dxa" w:w="100"/>
              <w:bottom w:type="dxa" w:w="60"/>
              <w:right w:type="dxa" w:w="100"/>
            </w:tcMar>
          </w:tcPr>
          <w:p>
            <w:r>
              <w:rPr>
                <w:sz w:val="21"/>
                <w:szCs w:val="21"/>
              </w:rPr>
              <w:t xml:space="preserve">TD-06</w:t>
            </w:r>
          </w:p>
        </w:tc>
        <w:tc>
          <w:tcPr>
            <w:tcW w:type="dxa" w:w="3116"/>
            <w:tcMar>
              <w:top w:type="dxa" w:w="60"/>
              <w:left w:type="dxa" w:w="100"/>
              <w:bottom w:type="dxa" w:w="60"/>
              <w:right w:type="dxa" w:w="100"/>
            </w:tcMar>
          </w:tcPr>
          <w:p>
            <w:r>
              <w:rPr>
                <w:sz w:val="21"/>
                <w:szCs w:val="21"/>
              </w:rPr>
              <w:t xml:space="preserve">Sauvegarde exécutable</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scripts/backup.sh</w:t>
            </w:r>
            <w:r>
              <w:rPr>
                <w:sz w:val="21"/>
                <w:szCs w:val="21"/>
              </w:rPr>
              <w:t xml:space="preserve"> en mode manuel, vérification de l'archive produite</w:t>
            </w:r>
          </w:p>
        </w:tc>
      </w:tr>
    </w:tbl>
    <w:p>
      <w:pPr>
        <w:spacing w:after="160"/>
      </w:pPr>
    </w:p>
    <w:p>
      <w:pPr>
        <w:spacing w:after="120"/>
      </w:pPr>
      <w:r>
        <w:rPr>
          <w:b/>
          <w:bCs/>
          <w:sz w:val="21"/>
          <w:szCs w:val="21"/>
        </w:rPr>
        <w:t xml:space="preserve">[⇒] Projection méthodologique — procédure ITIL complète.</w:t>
      </w:r>
      <w:r>
        <w:rPr>
          <w:sz w:val="21"/>
          <w:szCs w:val="21"/>
        </w:rPr>
        <w:t xml:space="preserve"> Cette checklist couvre les principes ITIL de base (prérequis vérifiés, environnement de test avant production, liste de contrôle, rollback possible via </w:t>
      </w:r>
      <w:r>
        <w:rPr>
          <w:rFonts w:ascii="Consolas" w:cs="Consolas" w:eastAsia="Consolas" w:hAnsi="Consolas"/>
          <w:color w:val="1f2937"/>
          <w:sz w:val="19"/>
          <w:szCs w:val="19"/>
        </w:rPr>
        <w:t xml:space="preserve">docker compose down</w:t>
      </w:r>
      <w:r>
        <w:rPr>
          <w:sz w:val="21"/>
          <w:szCs w:val="21"/>
        </w:rPr>
        <w:t xml:space="preserve"> + restauration du dernier backup) mais n'a pas fait l'objet d'une signature formelle d'un « bon à intégrer » ni d'un PV de recette signé par un tiers, faute de contexte client réel sur ce projet personnel. En entreprise, ces deux documents formaliseraient l'accord du responsable d'exploitation et du Product Owner avant bascule en production.</w:t>
      </w:r>
    </w:p>
    <w:p>
      <w:pPr>
        <w:pStyle w:val="Heading2"/>
        <w:spacing w:after="140" w:before="300"/>
      </w:pPr>
      <w:r>
        <w:t xml:space="preserve">Scripts d'exploitation</w:t>
      </w:r>
    </w:p>
    <w:p>
      <w:pPr>
        <w:pStyle w:val="ListParagraph"/>
        <w:numPr>
          <w:ilvl w:val="0"/>
          <w:numId w:val="1"/>
        </w:numPr>
        <w:spacing w:after="60"/>
      </w:pPr>
      <w:r>
        <w:rPr>
          <w:rFonts w:ascii="Consolas" w:cs="Consolas" w:eastAsia="Consolas" w:hAnsi="Consolas"/>
          <w:color w:val="1f2937"/>
          <w:sz w:val="19"/>
          <w:szCs w:val="19"/>
        </w:rPr>
        <w:t xml:space="preserve">scripts/backup.sh</w:t>
      </w:r>
      <w:r>
        <w:rPr>
          <w:sz w:val="21"/>
          <w:szCs w:val="21"/>
        </w:rPr>
        <w:t xml:space="preserve"> : dump MariaDB (</w:t>
      </w:r>
      <w:r>
        <w:rPr>
          <w:rFonts w:ascii="Consolas" w:cs="Consolas" w:eastAsia="Consolas" w:hAnsi="Consolas"/>
          <w:color w:val="1f2937"/>
          <w:sz w:val="19"/>
          <w:szCs w:val="19"/>
        </w:rPr>
        <w:t xml:space="preserve">mysqldump</w:t>
      </w:r>
      <w:r>
        <w:rPr>
          <w:sz w:val="21"/>
          <w:szCs w:val="21"/>
        </w:rPr>
        <w:t xml:space="preserve"> + gzip) et archive des</w:t>
      </w:r>
    </w:p>
    <w:p>
      <w:pPr>
        <w:spacing w:after="120"/>
      </w:pPr>
      <w:r>
        <w:rPr>
          <w:sz w:val="21"/>
          <w:szCs w:val="21"/>
        </w:rPr>
        <w:t xml:space="preserve">fichiers uploadés, purge des sauvegardes de plus de 30 jours, prévu pour être planifié via cron.</w:t>
      </w:r>
    </w:p>
    <w:p>
      <w:pPr>
        <w:pStyle w:val="ListParagraph"/>
        <w:numPr>
          <w:ilvl w:val="0"/>
          <w:numId w:val="1"/>
        </w:numPr>
        <w:spacing w:after="60"/>
      </w:pPr>
      <w:r>
        <w:rPr>
          <w:rFonts w:ascii="Consolas" w:cs="Consolas" w:eastAsia="Consolas" w:hAnsi="Consolas"/>
          <w:color w:val="1f2937"/>
          <w:sz w:val="19"/>
          <w:szCs w:val="19"/>
        </w:rPr>
        <w:t xml:space="preserve">web/init.sql</w:t>
      </w:r>
      <w:r>
        <w:rPr>
          <w:sz w:val="21"/>
          <w:szCs w:val="21"/>
        </w:rPr>
        <w:t xml:space="preserve"> : création automatique du schéma au premier démarrage du</w:t>
      </w:r>
    </w:p>
    <w:p>
      <w:pPr>
        <w:spacing w:after="120"/>
      </w:pPr>
      <w:r>
        <w:rPr>
          <w:sz w:val="21"/>
          <w:szCs w:val="21"/>
        </w:rPr>
        <w:t xml:space="preserve">conteneur MariaDB (monté sur </w:t>
      </w:r>
      <w:r>
        <w:rPr>
          <w:rFonts w:ascii="Consolas" w:cs="Consolas" w:eastAsia="Consolas" w:hAnsi="Consolas"/>
          <w:color w:val="1f2937"/>
          <w:sz w:val="19"/>
          <w:szCs w:val="19"/>
        </w:rPr>
        <w:t xml:space="preserve">/docker-entrypoint-initdb.d/</w:t>
      </w:r>
      <w:r>
        <w:rPr>
          <w:sz w:val="21"/>
          <w:szCs w:val="21"/>
        </w:rPr>
        <w:t xml:space="preserve">).</w:t>
      </w:r>
    </w:p>
    <w:p>
      <w:pPr>
        <w:pStyle w:val="Heading2"/>
        <w:spacing w:after="140" w:before="300"/>
      </w:pPr>
      <w:r>
        <w:t xml:space="preserve">Réutilisation plutôt que réimplémentation (Bloc 2 — C6)</w:t>
      </w:r>
    </w:p>
    <w:p>
      <w:pPr>
        <w:spacing w:after="120"/>
      </w:pPr>
      <w:r>
        <w:rPr>
          <w:sz w:val="21"/>
          <w:szCs w:val="21"/>
        </w:rPr>
        <w:t xml:space="preserve">Bibliothèques et outils intégrés tels quels plutôt que réécrits : </w:t>
      </w:r>
      <w:r>
        <w:rPr>
          <w:b/>
          <w:bCs/>
          <w:sz w:val="21"/>
          <w:szCs w:val="21"/>
        </w:rPr>
        <w:t xml:space="preserve">Authlib</w:t>
      </w:r>
      <w:r>
        <w:rPr>
          <w:sz w:val="21"/>
          <w:szCs w:val="21"/>
        </w:rPr>
        <w:t xml:space="preserve"> (protocole OIDC), </w:t>
      </w:r>
      <w:r>
        <w:rPr>
          <w:b/>
          <w:bCs/>
          <w:sz w:val="21"/>
          <w:szCs w:val="21"/>
        </w:rPr>
        <w:t xml:space="preserve">PyMySQL</w:t>
      </w:r>
      <w:r>
        <w:rPr>
          <w:sz w:val="21"/>
          <w:szCs w:val="21"/>
        </w:rPr>
        <w:t xml:space="preserve"> (connecteur MariaDB), </w:t>
      </w:r>
      <w:r>
        <w:rPr>
          <w:b/>
          <w:bCs/>
          <w:sz w:val="21"/>
          <w:szCs w:val="21"/>
        </w:rPr>
        <w:t xml:space="preserve">python-magic</w:t>
      </w:r>
      <w:r>
        <w:rPr>
          <w:sz w:val="21"/>
          <w:szCs w:val="21"/>
        </w:rPr>
        <w:t xml:space="preserve"> (détection MIME), </w:t>
      </w:r>
      <w:r>
        <w:rPr>
          <w:b/>
          <w:bCs/>
          <w:sz w:val="21"/>
          <w:szCs w:val="21"/>
        </w:rPr>
        <w:t xml:space="preserve">Mattermost</w:t>
      </w:r>
      <w:r>
        <w:rPr>
          <w:sz w:val="21"/>
          <w:szCs w:val="21"/>
        </w:rPr>
        <w:t xml:space="preserve"> (chat + Kanban complet, avec SSO partagé) — décision explicite de ne pas réinventer un outil de chat/Kanban alors qu'une solution mature et intégrable existe.</w:t>
      </w:r>
    </w:p>
    <w:p>
      <w:pPr>
        <w:pStyle w:val="Heading1"/>
        <w:pageBreakBefore/>
        <w:spacing w:after="160" w:before="360"/>
      </w:pPr>
      <w:r>
        <w:t xml:space="preserve">Partie 4 — Plan de tests</w:t>
      </w:r>
    </w:p>
    <w:p>
      <w:pPr>
        <w:pStyle w:val="Heading2"/>
        <w:spacing w:after="140" w:before="300"/>
      </w:pPr>
      <w:r>
        <w:t xml:space="preserve">Vue d'ensemble</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2337"/>
        <w:gridCol w:w="2337"/>
        <w:gridCol w:w="2337"/>
        <w:gridCol w:w="2337"/>
      </w:tblGrid>
      <w:tr>
        <w:trPr>
          <w:tblHeader/>
        </w:trPr>
        <w:tc>
          <w:tcPr>
            <w:tcW w:type="dxa" w:w="2337"/>
            <w:shd w:fill="1f2937" w:color="auto" w:val="clear"/>
            <w:tcMar>
              <w:top w:type="dxa" w:w="60"/>
              <w:left w:type="dxa" w:w="100"/>
              <w:bottom w:type="dxa" w:w="60"/>
              <w:right w:type="dxa" w:w="100"/>
            </w:tcMar>
          </w:tcPr>
          <w:p>
            <w:r>
              <w:rPr>
                <w:b/>
                <w:bCs/>
                <w:color w:val="FFFFFF"/>
                <w:sz w:val="19"/>
                <w:szCs w:val="19"/>
              </w:rPr>
              <w:t xml:space="preserve">Catégorie</w:t>
            </w:r>
          </w:p>
        </w:tc>
        <w:tc>
          <w:tcPr>
            <w:tcW w:type="dxa" w:w="2337"/>
            <w:shd w:fill="1f2937" w:color="auto" w:val="clear"/>
            <w:tcMar>
              <w:top w:type="dxa" w:w="60"/>
              <w:left w:type="dxa" w:w="100"/>
              <w:bottom w:type="dxa" w:w="60"/>
              <w:right w:type="dxa" w:w="100"/>
            </w:tcMar>
          </w:tcPr>
          <w:p>
            <w:r>
              <w:rPr>
                <w:b/>
                <w:bCs/>
                <w:color w:val="FFFFFF"/>
                <w:sz w:val="19"/>
                <w:szCs w:val="19"/>
              </w:rPr>
              <w:t xml:space="preserve">Cas documentés</w:t>
            </w:r>
          </w:p>
        </w:tc>
        <w:tc>
          <w:tcPr>
            <w:tcW w:type="dxa" w:w="2337"/>
            <w:shd w:fill="1f2937" w:color="auto" w:val="clear"/>
            <w:tcMar>
              <w:top w:type="dxa" w:w="60"/>
              <w:left w:type="dxa" w:w="100"/>
              <w:bottom w:type="dxa" w:w="60"/>
              <w:right w:type="dxa" w:w="100"/>
            </w:tcMar>
          </w:tcPr>
          <w:p>
            <w:r>
              <w:rPr>
                <w:b/>
                <w:bCs/>
                <w:color w:val="FFFFFF"/>
                <w:sz w:val="19"/>
                <w:szCs w:val="19"/>
              </w:rPr>
              <w:t xml:space="preserve">Automatisés (pytest)</w:t>
            </w:r>
          </w:p>
        </w:tc>
        <w:tc>
          <w:tcPr>
            <w:tcW w:type="dxa" w:w="2337"/>
            <w:shd w:fill="1f2937" w:color="auto" w:val="clear"/>
            <w:tcMar>
              <w:top w:type="dxa" w:w="60"/>
              <w:left w:type="dxa" w:w="100"/>
              <w:bottom w:type="dxa" w:w="60"/>
              <w:right w:type="dxa" w:w="100"/>
            </w:tcMar>
          </w:tcPr>
          <w:p>
            <w:r>
              <w:rPr>
                <w:b/>
                <w:bCs/>
                <w:color w:val="FFFFFF"/>
                <w:sz w:val="19"/>
                <w:szCs w:val="19"/>
              </w:rPr>
              <w:t xml:space="preserve">Résultat réel (2026-08-20)</w:t>
            </w:r>
          </w:p>
        </w:tc>
      </w:tr>
      <w:tr>
        <w:trPr>
          <w:tblHeader w:val="false"/>
        </w:trPr>
        <w:tc>
          <w:tcPr>
            <w:tcW w:type="dxa" w:w="2337"/>
            <w:tcMar>
              <w:top w:type="dxa" w:w="60"/>
              <w:left w:type="dxa" w:w="100"/>
              <w:bottom w:type="dxa" w:w="60"/>
              <w:right w:type="dxa" w:w="100"/>
            </w:tcMar>
          </w:tcPr>
          <w:p>
            <w:r>
              <w:rPr>
                <w:sz w:val="21"/>
                <w:szCs w:val="21"/>
              </w:rPr>
              <w:t xml:space="preserve">Tests unitaires (UT)</w:t>
            </w:r>
          </w:p>
        </w:tc>
        <w:tc>
          <w:tcPr>
            <w:tcW w:type="dxa" w:w="2337"/>
            <w:tcMar>
              <w:top w:type="dxa" w:w="60"/>
              <w:left w:type="dxa" w:w="100"/>
              <w:bottom w:type="dxa" w:w="60"/>
              <w:right w:type="dxa" w:w="100"/>
            </w:tcMar>
          </w:tcPr>
          <w:p>
            <w:r>
              <w:rPr>
                <w:sz w:val="21"/>
                <w:szCs w:val="21"/>
              </w:rPr>
              <w:t xml:space="preserve">17</w:t>
            </w:r>
          </w:p>
        </w:tc>
        <w:tc>
          <w:tcPr>
            <w:tcW w:type="dxa" w:w="2337"/>
            <w:tcMar>
              <w:top w:type="dxa" w:w="60"/>
              <w:left w:type="dxa" w:w="100"/>
              <w:bottom w:type="dxa" w:w="60"/>
              <w:right w:type="dxa" w:w="100"/>
            </w:tcMar>
          </w:tcPr>
          <w:p>
            <w:r>
              <w:rPr>
                <w:sz w:val="21"/>
                <w:szCs w:val="21"/>
              </w:rPr>
              <w:t xml:space="preserve">17</w:t>
            </w:r>
          </w:p>
        </w:tc>
        <w:tc>
          <w:tcPr>
            <w:tcW w:type="dxa" w:w="2337"/>
            <w:tcMar>
              <w:top w:type="dxa" w:w="60"/>
              <w:left w:type="dxa" w:w="100"/>
              <w:bottom w:type="dxa" w:w="60"/>
              <w:right w:type="dxa" w:w="100"/>
            </w:tcMar>
          </w:tcPr>
          <w:p>
            <w:r>
              <w:rPr>
                <w:sz w:val="21"/>
                <w:szCs w:val="21"/>
              </w:rPr>
              <w:t xml:space="preserve">17/17 réussis</w:t>
            </w:r>
          </w:p>
        </w:tc>
      </w:tr>
      <w:tr>
        <w:trPr>
          <w:tblHeader w:val="false"/>
        </w:trPr>
        <w:tc>
          <w:tcPr>
            <w:tcW w:type="dxa" w:w="2337"/>
            <w:tcMar>
              <w:top w:type="dxa" w:w="60"/>
              <w:left w:type="dxa" w:w="100"/>
              <w:bottom w:type="dxa" w:w="60"/>
              <w:right w:type="dxa" w:w="100"/>
            </w:tcMar>
          </w:tcPr>
          <w:p>
            <w:r>
              <w:rPr>
                <w:sz w:val="21"/>
                <w:szCs w:val="21"/>
              </w:rPr>
              <w:t xml:space="preserve">Tests d'intégration (IT)</w:t>
            </w:r>
          </w:p>
        </w:tc>
        <w:tc>
          <w:tcPr>
            <w:tcW w:type="dxa" w:w="2337"/>
            <w:tcMar>
              <w:top w:type="dxa" w:w="60"/>
              <w:left w:type="dxa" w:w="100"/>
              <w:bottom w:type="dxa" w:w="60"/>
              <w:right w:type="dxa" w:w="100"/>
            </w:tcMar>
          </w:tcPr>
          <w:p>
            <w:r>
              <w:rPr>
                <w:sz w:val="21"/>
                <w:szCs w:val="21"/>
              </w:rPr>
              <w:t xml:space="preserve">11</w:t>
            </w:r>
          </w:p>
        </w:tc>
        <w:tc>
          <w:tcPr>
            <w:tcW w:type="dxa" w:w="2337"/>
            <w:tcMar>
              <w:top w:type="dxa" w:w="60"/>
              <w:left w:type="dxa" w:w="100"/>
              <w:bottom w:type="dxa" w:w="60"/>
              <w:right w:type="dxa" w:w="100"/>
            </w:tcMar>
          </w:tcPr>
          <w:p>
            <w:r>
              <w:rPr>
                <w:sz w:val="21"/>
                <w:szCs w:val="21"/>
              </w:rPr>
              <w:t xml:space="preserve">11</w:t>
            </w:r>
          </w:p>
        </w:tc>
        <w:tc>
          <w:tcPr>
            <w:tcW w:type="dxa" w:w="2337"/>
            <w:tcMar>
              <w:top w:type="dxa" w:w="60"/>
              <w:left w:type="dxa" w:w="100"/>
              <w:bottom w:type="dxa" w:w="60"/>
              <w:right w:type="dxa" w:w="100"/>
            </w:tcMar>
          </w:tcPr>
          <w:p>
            <w:r>
              <w:rPr>
                <w:sz w:val="21"/>
                <w:szCs w:val="21"/>
              </w:rPr>
              <w:t xml:space="preserve">11/11 réussis</w:t>
            </w:r>
          </w:p>
        </w:tc>
      </w:tr>
      <w:tr>
        <w:trPr>
          <w:tblHeader w:val="false"/>
        </w:trPr>
        <w:tc>
          <w:tcPr>
            <w:tcW w:type="dxa" w:w="2337"/>
            <w:tcMar>
              <w:top w:type="dxa" w:w="60"/>
              <w:left w:type="dxa" w:w="100"/>
              <w:bottom w:type="dxa" w:w="60"/>
              <w:right w:type="dxa" w:w="100"/>
            </w:tcMar>
          </w:tcPr>
          <w:p>
            <w:r>
              <w:rPr>
                <w:sz w:val="21"/>
                <w:szCs w:val="21"/>
              </w:rPr>
              <w:t xml:space="preserve">Tests de sécurité (TS)</w:t>
            </w:r>
          </w:p>
        </w:tc>
        <w:tc>
          <w:tcPr>
            <w:tcW w:type="dxa" w:w="2337"/>
            <w:tcMar>
              <w:top w:type="dxa" w:w="60"/>
              <w:left w:type="dxa" w:w="100"/>
              <w:bottom w:type="dxa" w:w="60"/>
              <w:right w:type="dxa" w:w="100"/>
            </w:tcMar>
          </w:tcPr>
          <w:p>
            <w:r>
              <w:rPr>
                <w:sz w:val="21"/>
                <w:szCs w:val="21"/>
              </w:rPr>
              <w:t xml:space="preserve">6</w:t>
            </w:r>
          </w:p>
        </w:tc>
        <w:tc>
          <w:tcPr>
            <w:tcW w:type="dxa" w:w="2337"/>
            <w:tcMar>
              <w:top w:type="dxa" w:w="60"/>
              <w:left w:type="dxa" w:w="100"/>
              <w:bottom w:type="dxa" w:w="60"/>
              <w:right w:type="dxa" w:w="100"/>
            </w:tcMar>
          </w:tcPr>
          <w:p>
            <w:r>
              <w:rPr>
                <w:sz w:val="21"/>
                <w:szCs w:val="21"/>
              </w:rPr>
              <w:t xml:space="preserve">6</w:t>
            </w:r>
          </w:p>
        </w:tc>
        <w:tc>
          <w:tcPr>
            <w:tcW w:type="dxa" w:w="2337"/>
            <w:tcMar>
              <w:top w:type="dxa" w:w="60"/>
              <w:left w:type="dxa" w:w="100"/>
              <w:bottom w:type="dxa" w:w="60"/>
              <w:right w:type="dxa" w:w="100"/>
            </w:tcMar>
          </w:tcPr>
          <w:p>
            <w:r>
              <w:rPr>
                <w:sz w:val="21"/>
                <w:szCs w:val="21"/>
              </w:rPr>
              <w:t xml:space="preserve">6/6 réussis</w:t>
            </w:r>
          </w:p>
        </w:tc>
      </w:tr>
      <w:tr>
        <w:trPr>
          <w:tblHeader w:val="false"/>
        </w:trPr>
        <w:tc>
          <w:tcPr>
            <w:tcW w:type="dxa" w:w="2337"/>
            <w:tcMar>
              <w:top w:type="dxa" w:w="60"/>
              <w:left w:type="dxa" w:w="100"/>
              <w:bottom w:type="dxa" w:w="60"/>
              <w:right w:type="dxa" w:w="100"/>
            </w:tcMar>
          </w:tcPr>
          <w:p>
            <w:r>
              <w:rPr>
                <w:sz w:val="21"/>
                <w:szCs w:val="21"/>
              </w:rPr>
              <w:t xml:space="preserve">Tests de déploiement (TD)</w:t>
            </w:r>
          </w:p>
        </w:tc>
        <w:tc>
          <w:tcPr>
            <w:tcW w:type="dxa" w:w="2337"/>
            <w:tcMar>
              <w:top w:type="dxa" w:w="60"/>
              <w:left w:type="dxa" w:w="100"/>
              <w:bottom w:type="dxa" w:w="60"/>
              <w:right w:type="dxa" w:w="100"/>
            </w:tcMar>
          </w:tcPr>
          <w:p>
            <w:r>
              <w:rPr>
                <w:sz w:val="21"/>
                <w:szCs w:val="21"/>
              </w:rPr>
              <w:t xml:space="preserve">6</w:t>
            </w:r>
          </w:p>
        </w:tc>
        <w:tc>
          <w:tcPr>
            <w:tcW w:type="dxa" w:w="2337"/>
            <w:tcMar>
              <w:top w:type="dxa" w:w="60"/>
              <w:left w:type="dxa" w:w="100"/>
              <w:bottom w:type="dxa" w:w="60"/>
              <w:right w:type="dxa" w:w="100"/>
            </w:tcMar>
          </w:tcPr>
          <w:p>
            <w:r>
              <w:rPr>
                <w:sz w:val="21"/>
                <w:szCs w:val="21"/>
              </w:rPr>
              <w:t xml:space="preserve">Manuels (checklist)</w:t>
            </w:r>
          </w:p>
        </w:tc>
        <w:tc>
          <w:tcPr>
            <w:tcW w:type="dxa" w:w="2337"/>
            <w:tcMar>
              <w:top w:type="dxa" w:w="60"/>
              <w:left w:type="dxa" w:w="100"/>
              <w:bottom w:type="dxa" w:w="60"/>
              <w:right w:type="dxa" w:w="100"/>
            </w:tcMar>
          </w:tcPr>
          <w:p>
            <w:r>
              <w:rPr>
                <w:sz w:val="21"/>
                <w:szCs w:val="21"/>
              </w:rPr>
              <w:t xml:space="preserve">Voir Partie 3</w:t>
            </w:r>
          </w:p>
        </w:tc>
      </w:tr>
      <w:tr>
        <w:trPr>
          <w:tblHeader w:val="false"/>
        </w:trPr>
        <w:tc>
          <w:tcPr>
            <w:tcW w:type="dxa" w:w="2337"/>
            <w:tcMar>
              <w:top w:type="dxa" w:w="60"/>
              <w:left w:type="dxa" w:w="100"/>
              <w:bottom w:type="dxa" w:w="60"/>
              <w:right w:type="dxa" w:w="100"/>
            </w:tcMar>
          </w:tcPr>
          <w:p>
            <w:r>
              <w:rPr>
                <w:sz w:val="21"/>
                <w:szCs w:val="21"/>
              </w:rPr>
              <w:t xml:space="preserve">Tests fonctionnels (TF)</w:t>
            </w:r>
          </w:p>
        </w:tc>
        <w:tc>
          <w:tcPr>
            <w:tcW w:type="dxa" w:w="2337"/>
            <w:tcMar>
              <w:top w:type="dxa" w:w="60"/>
              <w:left w:type="dxa" w:w="100"/>
              <w:bottom w:type="dxa" w:w="60"/>
              <w:right w:type="dxa" w:w="100"/>
            </w:tcMar>
          </w:tcPr>
          <w:p>
            <w:r>
              <w:rPr>
                <w:sz w:val="21"/>
                <w:szCs w:val="21"/>
              </w:rPr>
              <w:t xml:space="preserve">4</w:t>
            </w:r>
          </w:p>
        </w:tc>
        <w:tc>
          <w:tcPr>
            <w:tcW w:type="dxa" w:w="2337"/>
            <w:tcMar>
              <w:top w:type="dxa" w:w="60"/>
              <w:left w:type="dxa" w:w="100"/>
              <w:bottom w:type="dxa" w:w="60"/>
              <w:right w:type="dxa" w:w="100"/>
            </w:tcMar>
          </w:tcPr>
          <w:p>
            <w:r>
              <w:rPr>
                <w:sz w:val="21"/>
                <w:szCs w:val="21"/>
              </w:rPr>
              <w:t xml:space="preserve">Manuels / scénarios</w:t>
            </w:r>
          </w:p>
        </w:tc>
        <w:tc>
          <w:tcPr>
            <w:tcW w:type="dxa" w:w="2337"/>
            <w:tcMar>
              <w:top w:type="dxa" w:w="60"/>
              <w:left w:type="dxa" w:w="100"/>
              <w:bottom w:type="dxa" w:w="60"/>
              <w:right w:type="dxa" w:w="100"/>
            </w:tcMar>
          </w:tcPr>
          <w:p>
            <w:r>
              <w:rPr>
                <w:sz w:val="21"/>
                <w:szCs w:val="21"/>
              </w:rPr>
              <w:t xml:space="preserve">Voir ci-dessous</w:t>
            </w:r>
          </w:p>
        </w:tc>
      </w:tr>
      <w:tr>
        <w:trPr>
          <w:tblHeader w:val="false"/>
        </w:trPr>
        <w:tc>
          <w:tcPr>
            <w:tcW w:type="dxa" w:w="2337"/>
            <w:tcMar>
              <w:top w:type="dxa" w:w="60"/>
              <w:left w:type="dxa" w:w="100"/>
              <w:bottom w:type="dxa" w:w="60"/>
              <w:right w:type="dxa" w:w="100"/>
            </w:tcMar>
          </w:tcPr>
          <w:p>
            <w:r>
              <w:rPr>
                <w:b/>
                <w:bCs/>
                <w:sz w:val="21"/>
                <w:szCs w:val="21"/>
              </w:rPr>
              <w:t xml:space="preserve">Total automatisé</w:t>
            </w:r>
          </w:p>
        </w:tc>
        <w:tc>
          <w:tcPr>
            <w:tcW w:type="dxa" w:w="2337"/>
            <w:tcMar>
              <w:top w:type="dxa" w:w="60"/>
              <w:left w:type="dxa" w:w="100"/>
              <w:bottom w:type="dxa" w:w="60"/>
              <w:right w:type="dxa" w:w="100"/>
            </w:tcMar>
          </w:tcPr>
          <w:p>
            <w:r>
              <w:rPr>
                <w:b/>
                <w:bCs/>
                <w:sz w:val="21"/>
                <w:szCs w:val="21"/>
              </w:rPr>
              <w:t xml:space="preserve">34</w:t>
            </w:r>
          </w:p>
        </w:tc>
        <w:tc>
          <w:tcPr>
            <w:tcW w:type="dxa" w:w="2337"/>
            <w:tcMar>
              <w:top w:type="dxa" w:w="60"/>
              <w:left w:type="dxa" w:w="100"/>
              <w:bottom w:type="dxa" w:w="60"/>
              <w:right w:type="dxa" w:w="100"/>
            </w:tcMar>
          </w:tcPr>
          <w:p>
            <w:r>
              <w:rPr>
                <w:b/>
                <w:bCs/>
                <w:sz w:val="21"/>
                <w:szCs w:val="21"/>
              </w:rPr>
              <w:t xml:space="preserve">34 exécutés</w:t>
            </w:r>
          </w:p>
        </w:tc>
        <w:tc>
          <w:tcPr>
            <w:tcW w:type="dxa" w:w="2337"/>
            <w:tcMar>
              <w:top w:type="dxa" w:w="60"/>
              <w:left w:type="dxa" w:w="100"/>
              <w:bottom w:type="dxa" w:w="60"/>
              <w:right w:type="dxa" w:w="100"/>
            </w:tcMar>
          </w:tcPr>
          <w:p>
            <w:r>
              <w:rPr>
                <w:b/>
                <w:bCs/>
                <w:sz w:val="21"/>
                <w:szCs w:val="21"/>
              </w:rPr>
              <w:t xml:space="preserve">34/34 réussis</w:t>
            </w:r>
          </w:p>
        </w:tc>
      </w:tr>
    </w:tbl>
    <w:p>
      <w:pPr>
        <w:spacing w:after="160"/>
      </w:pPr>
    </w:p>
    <w:p>
      <w:pPr>
        <w:spacing w:after="120"/>
      </w:pPr>
      <w:r>
        <w:rPr>
          <w:sz w:val="21"/>
          <w:szCs w:val="21"/>
        </w:rPr>
        <w:t xml:space="preserve">Exécution réelle : </w:t>
      </w:r>
      <w:r>
        <w:rPr>
          <w:rFonts w:ascii="Consolas" w:cs="Consolas" w:eastAsia="Consolas" w:hAnsi="Consolas"/>
          <w:color w:val="1f2937"/>
          <w:sz w:val="19"/>
          <w:szCs w:val="19"/>
        </w:rPr>
        <w:t xml:space="preserve">pytest tests/ -v</w:t>
      </w:r>
      <w:r>
        <w:rPr>
          <w:sz w:val="21"/>
          <w:szCs w:val="21"/>
        </w:rPr>
        <w:t xml:space="preserve"> contre une base MariaDB 10.11 dédiée (</w:t>
      </w:r>
      <w:r>
        <w:rPr>
          <w:rFonts w:ascii="Consolas" w:cs="Consolas" w:eastAsia="Consolas" w:hAnsi="Consolas"/>
          <w:color w:val="1f2937"/>
          <w:sz w:val="19"/>
          <w:szCs w:val="19"/>
        </w:rPr>
        <w:t xml:space="preserve">gesthub_test</w:t>
      </w:r>
      <w:r>
        <w:rPr>
          <w:sz w:val="21"/>
          <w:szCs w:val="21"/>
        </w:rPr>
        <w:t xml:space="preserve">), sortie complète dans </w:t>
      </w:r>
      <w:r>
        <w:rPr>
          <w:rFonts w:ascii="Consolas" w:cs="Consolas" w:eastAsia="Consolas" w:hAnsi="Consolas"/>
          <w:color w:val="1f2937"/>
          <w:sz w:val="19"/>
          <w:szCs w:val="19"/>
        </w:rPr>
        <w:t xml:space="preserve">docs/evidence/pytest_output.txt</w:t>
      </w:r>
      <w:r>
        <w:rPr>
          <w:sz w:val="21"/>
          <w:szCs w:val="21"/>
        </w:rPr>
        <w:t xml:space="preserve">. Contrairement à des tests reposant sur des mocks de la couche SQL, cette suite détecte aussi les erreurs de requête (colonnes, contraintes) — c'est d'ailleurs ainsi qu'ont été trouvés les 3 bugs mentionnés en Annexe A1.</w:t>
      </w:r>
    </w:p>
    <w:p>
      <w:pPr>
        <w:pStyle w:val="Heading2"/>
        <w:spacing w:after="140" w:before="300"/>
      </w:pPr>
      <w:r>
        <w:t xml:space="preserve">Détail des tests unitaires (UT)</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2337"/>
        <w:gridCol w:w="2337"/>
        <w:gridCol w:w="2337"/>
        <w:gridCol w:w="2337"/>
      </w:tblGrid>
      <w:tr>
        <w:trPr>
          <w:tblHeader/>
        </w:trPr>
        <w:tc>
          <w:tcPr>
            <w:tcW w:type="dxa" w:w="2337"/>
            <w:shd w:fill="1f2937" w:color="auto" w:val="clear"/>
            <w:tcMar>
              <w:top w:type="dxa" w:w="60"/>
              <w:left w:type="dxa" w:w="100"/>
              <w:bottom w:type="dxa" w:w="60"/>
              <w:right w:type="dxa" w:w="100"/>
            </w:tcMar>
          </w:tcPr>
          <w:p>
            <w:r>
              <w:rPr>
                <w:b/>
                <w:bCs/>
                <w:color w:val="FFFFFF"/>
                <w:sz w:val="19"/>
                <w:szCs w:val="19"/>
              </w:rPr>
              <w:t xml:space="preserve">ID</w:t>
            </w:r>
          </w:p>
        </w:tc>
        <w:tc>
          <w:tcPr>
            <w:tcW w:type="dxa" w:w="2337"/>
            <w:shd w:fill="1f2937" w:color="auto" w:val="clear"/>
            <w:tcMar>
              <w:top w:type="dxa" w:w="60"/>
              <w:left w:type="dxa" w:w="100"/>
              <w:bottom w:type="dxa" w:w="60"/>
              <w:right w:type="dxa" w:w="100"/>
            </w:tcMar>
          </w:tcPr>
          <w:p>
            <w:r>
              <w:rPr>
                <w:b/>
                <w:bCs/>
                <w:color w:val="FFFFFF"/>
                <w:sz w:val="19"/>
                <w:szCs w:val="19"/>
              </w:rPr>
              <w:t xml:space="preserve">Fonction testée</w:t>
            </w:r>
          </w:p>
        </w:tc>
        <w:tc>
          <w:tcPr>
            <w:tcW w:type="dxa" w:w="2337"/>
            <w:shd w:fill="1f2937" w:color="auto" w:val="clear"/>
            <w:tcMar>
              <w:top w:type="dxa" w:w="60"/>
              <w:left w:type="dxa" w:w="100"/>
              <w:bottom w:type="dxa" w:w="60"/>
              <w:right w:type="dxa" w:w="100"/>
            </w:tcMar>
          </w:tcPr>
          <w:p>
            <w:r>
              <w:rPr>
                <w:b/>
                <w:bCs/>
                <w:color w:val="FFFFFF"/>
                <w:sz w:val="19"/>
                <w:szCs w:val="19"/>
              </w:rPr>
              <w:t xml:space="preserve">Entrée</w:t>
            </w:r>
          </w:p>
        </w:tc>
        <w:tc>
          <w:tcPr>
            <w:tcW w:type="dxa" w:w="2337"/>
            <w:shd w:fill="1f2937" w:color="auto" w:val="clear"/>
            <w:tcMar>
              <w:top w:type="dxa" w:w="60"/>
              <w:left w:type="dxa" w:w="100"/>
              <w:bottom w:type="dxa" w:w="60"/>
              <w:right w:type="dxa" w:w="100"/>
            </w:tcMar>
          </w:tcPr>
          <w:p>
            <w:r>
              <w:rPr>
                <w:b/>
                <w:bCs/>
                <w:color w:val="FFFFFF"/>
                <w:sz w:val="19"/>
                <w:szCs w:val="19"/>
              </w:rPr>
              <w:t xml:space="preserve">Résultat attendu</w:t>
            </w:r>
          </w:p>
        </w:tc>
      </w:tr>
      <w:tr>
        <w:trPr>
          <w:tblHeader w:val="false"/>
        </w:trPr>
        <w:tc>
          <w:tcPr>
            <w:tcW w:type="dxa" w:w="2337"/>
            <w:tcMar>
              <w:top w:type="dxa" w:w="60"/>
              <w:left w:type="dxa" w:w="100"/>
              <w:bottom w:type="dxa" w:w="60"/>
              <w:right w:type="dxa" w:w="100"/>
            </w:tcMar>
          </w:tcPr>
          <w:p>
            <w:r>
              <w:rPr>
                <w:sz w:val="21"/>
                <w:szCs w:val="21"/>
              </w:rPr>
              <w:t xml:space="preserve">UT-01</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annonce_service.create_annonce</w:t>
            </w:r>
          </w:p>
        </w:tc>
        <w:tc>
          <w:tcPr>
            <w:tcW w:type="dxa" w:w="2337"/>
            <w:tcMar>
              <w:top w:type="dxa" w:w="60"/>
              <w:left w:type="dxa" w:w="100"/>
              <w:bottom w:type="dxa" w:w="60"/>
              <w:right w:type="dxa" w:w="100"/>
            </w:tcMar>
          </w:tcPr>
          <w:p>
            <w:r>
              <w:rPr>
                <w:sz w:val="21"/>
                <w:szCs w:val="21"/>
              </w:rPr>
              <w:t xml:space="preserve">titre/contenu valides</w:t>
            </w:r>
          </w:p>
        </w:tc>
        <w:tc>
          <w:tcPr>
            <w:tcW w:type="dxa" w:w="2337"/>
            <w:tcMar>
              <w:top w:type="dxa" w:w="60"/>
              <w:left w:type="dxa" w:w="100"/>
              <w:bottom w:type="dxa" w:w="60"/>
              <w:right w:type="dxa" w:w="100"/>
            </w:tcMar>
          </w:tcPr>
          <w:p>
            <w:r>
              <w:rPr>
                <w:sz w:val="21"/>
                <w:szCs w:val="21"/>
              </w:rPr>
              <w:t xml:space="preserve">Ligne créée, id retourné</w:t>
            </w:r>
          </w:p>
        </w:tc>
      </w:tr>
      <w:tr>
        <w:trPr>
          <w:tblHeader w:val="false"/>
        </w:trPr>
        <w:tc>
          <w:tcPr>
            <w:tcW w:type="dxa" w:w="2337"/>
            <w:tcMar>
              <w:top w:type="dxa" w:w="60"/>
              <w:left w:type="dxa" w:w="100"/>
              <w:bottom w:type="dxa" w:w="60"/>
              <w:right w:type="dxa" w:w="100"/>
            </w:tcMar>
          </w:tcPr>
          <w:p>
            <w:r>
              <w:rPr>
                <w:sz w:val="21"/>
                <w:szCs w:val="21"/>
              </w:rPr>
              <w:t xml:space="preserve">UT-02</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create_annonce</w:t>
            </w:r>
          </w:p>
        </w:tc>
        <w:tc>
          <w:tcPr>
            <w:tcW w:type="dxa" w:w="2337"/>
            <w:tcMar>
              <w:top w:type="dxa" w:w="60"/>
              <w:left w:type="dxa" w:w="100"/>
              <w:bottom w:type="dxa" w:w="60"/>
              <w:right w:type="dxa" w:w="100"/>
            </w:tcMar>
          </w:tcPr>
          <w:p>
            <w:r>
              <w:rPr>
                <w:sz w:val="21"/>
                <w:szCs w:val="21"/>
              </w:rPr>
              <w:t xml:space="preserve">titre vide</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ValidationError</w:t>
            </w:r>
          </w:p>
        </w:tc>
      </w:tr>
      <w:tr>
        <w:trPr>
          <w:tblHeader w:val="false"/>
        </w:trPr>
        <w:tc>
          <w:tcPr>
            <w:tcW w:type="dxa" w:w="2337"/>
            <w:tcMar>
              <w:top w:type="dxa" w:w="60"/>
              <w:left w:type="dxa" w:w="100"/>
              <w:bottom w:type="dxa" w:w="60"/>
              <w:right w:type="dxa" w:w="100"/>
            </w:tcMar>
          </w:tcPr>
          <w:p>
            <w:r>
              <w:rPr>
                <w:sz w:val="21"/>
                <w:szCs w:val="21"/>
              </w:rPr>
              <w:t xml:space="preserve">UT-03</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create_annonce</w:t>
            </w:r>
          </w:p>
        </w:tc>
        <w:tc>
          <w:tcPr>
            <w:tcW w:type="dxa" w:w="2337"/>
            <w:tcMar>
              <w:top w:type="dxa" w:w="60"/>
              <w:left w:type="dxa" w:w="100"/>
              <w:bottom w:type="dxa" w:w="60"/>
              <w:right w:type="dxa" w:w="100"/>
            </w:tcMar>
          </w:tcPr>
          <w:p>
            <w:r>
              <w:rPr>
                <w:sz w:val="21"/>
                <w:szCs w:val="21"/>
              </w:rPr>
              <w:t xml:space="preserve">contenu vide/espaces</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ValidationError</w:t>
            </w:r>
          </w:p>
        </w:tc>
      </w:tr>
      <w:tr>
        <w:trPr>
          <w:tblHeader w:val="false"/>
        </w:trPr>
        <w:tc>
          <w:tcPr>
            <w:tcW w:type="dxa" w:w="2337"/>
            <w:tcMar>
              <w:top w:type="dxa" w:w="60"/>
              <w:left w:type="dxa" w:w="100"/>
              <w:bottom w:type="dxa" w:w="60"/>
              <w:right w:type="dxa" w:w="100"/>
            </w:tcMar>
          </w:tcPr>
          <w:p>
            <w:r>
              <w:rPr>
                <w:sz w:val="21"/>
                <w:szCs w:val="21"/>
              </w:rPr>
              <w:t xml:space="preserve">UT-04</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update_annonce</w:t>
            </w:r>
          </w:p>
        </w:tc>
        <w:tc>
          <w:tcPr>
            <w:tcW w:type="dxa" w:w="2337"/>
            <w:tcMar>
              <w:top w:type="dxa" w:w="60"/>
              <w:left w:type="dxa" w:w="100"/>
              <w:bottom w:type="dxa" w:w="60"/>
              <w:right w:type="dxa" w:w="100"/>
            </w:tcMar>
          </w:tcPr>
          <w:p>
            <w:r>
              <w:rPr>
                <w:sz w:val="21"/>
                <w:szCs w:val="21"/>
              </w:rPr>
              <w:t xml:space="preserve">annonce existante</w:t>
            </w:r>
          </w:p>
        </w:tc>
        <w:tc>
          <w:tcPr>
            <w:tcW w:type="dxa" w:w="2337"/>
            <w:tcMar>
              <w:top w:type="dxa" w:w="60"/>
              <w:left w:type="dxa" w:w="100"/>
              <w:bottom w:type="dxa" w:w="60"/>
              <w:right w:type="dxa" w:w="100"/>
            </w:tcMar>
          </w:tcPr>
          <w:p>
            <w:r>
              <w:rPr>
                <w:sz w:val="21"/>
                <w:szCs w:val="21"/>
              </w:rPr>
              <w:t xml:space="preserve">Champs mis à jour</w:t>
            </w:r>
          </w:p>
        </w:tc>
      </w:tr>
      <w:tr>
        <w:trPr>
          <w:tblHeader w:val="false"/>
        </w:trPr>
        <w:tc>
          <w:tcPr>
            <w:tcW w:type="dxa" w:w="2337"/>
            <w:tcMar>
              <w:top w:type="dxa" w:w="60"/>
              <w:left w:type="dxa" w:w="100"/>
              <w:bottom w:type="dxa" w:w="60"/>
              <w:right w:type="dxa" w:w="100"/>
            </w:tcMar>
          </w:tcPr>
          <w:p>
            <w:r>
              <w:rPr>
                <w:sz w:val="21"/>
                <w:szCs w:val="21"/>
              </w:rPr>
              <w:t xml:space="preserve">UT-05</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update_annonce</w:t>
            </w:r>
            <w:r>
              <w:rPr>
                <w:sz w:val="21"/>
                <w:szCs w:val="21"/>
              </w:rPr>
              <w:t xml:space="preserve"> / </w:t>
            </w:r>
            <w:r>
              <w:rPr>
                <w:rFonts w:ascii="Consolas" w:cs="Consolas" w:eastAsia="Consolas" w:hAnsi="Consolas"/>
                <w:color w:val="1f2937"/>
                <w:sz w:val="19"/>
                <w:szCs w:val="19"/>
              </w:rPr>
              <w:t xml:space="preserve">delete_annonce</w:t>
            </w:r>
          </w:p>
        </w:tc>
        <w:tc>
          <w:tcPr>
            <w:tcW w:type="dxa" w:w="2337"/>
            <w:tcMar>
              <w:top w:type="dxa" w:w="60"/>
              <w:left w:type="dxa" w:w="100"/>
              <w:bottom w:type="dxa" w:w="60"/>
              <w:right w:type="dxa" w:w="100"/>
            </w:tcMar>
          </w:tcPr>
          <w:p>
            <w:r>
              <w:rPr>
                <w:sz w:val="21"/>
                <w:szCs w:val="21"/>
              </w:rPr>
              <w:t xml:space="preserve">id inexistant</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AnnonceNotFoundError</w:t>
            </w:r>
          </w:p>
        </w:tc>
      </w:tr>
      <w:tr>
        <w:trPr>
          <w:tblHeader w:val="false"/>
        </w:trPr>
        <w:tc>
          <w:tcPr>
            <w:tcW w:type="dxa" w:w="2337"/>
            <w:tcMar>
              <w:top w:type="dxa" w:w="60"/>
              <w:left w:type="dxa" w:w="100"/>
              <w:bottom w:type="dxa" w:w="60"/>
              <w:right w:type="dxa" w:w="100"/>
            </w:tcMar>
          </w:tcPr>
          <w:p>
            <w:r>
              <w:rPr>
                <w:sz w:val="21"/>
                <w:szCs w:val="21"/>
              </w:rPr>
              <w:t xml:space="preserve">UT-06</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fichier_service.step2_check_size</w:t>
            </w:r>
          </w:p>
        </w:tc>
        <w:tc>
          <w:tcPr>
            <w:tcW w:type="dxa" w:w="2337"/>
            <w:tcMar>
              <w:top w:type="dxa" w:w="60"/>
              <w:left w:type="dxa" w:w="100"/>
              <w:bottom w:type="dxa" w:w="60"/>
              <w:right w:type="dxa" w:w="100"/>
            </w:tcMar>
          </w:tcPr>
          <w:p>
            <w:r>
              <w:rPr>
                <w:sz w:val="21"/>
                <w:szCs w:val="21"/>
              </w:rPr>
              <w:t xml:space="preserve">fichier &gt; taille max / vide</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FileValidationError</w:t>
            </w:r>
          </w:p>
        </w:tc>
      </w:tr>
      <w:tr>
        <w:trPr>
          <w:tblHeader w:val="false"/>
        </w:trPr>
        <w:tc>
          <w:tcPr>
            <w:tcW w:type="dxa" w:w="2337"/>
            <w:tcMar>
              <w:top w:type="dxa" w:w="60"/>
              <w:left w:type="dxa" w:w="100"/>
              <w:bottom w:type="dxa" w:w="60"/>
              <w:right w:type="dxa" w:w="100"/>
            </w:tcMar>
          </w:tcPr>
          <w:p>
            <w:r>
              <w:rPr>
                <w:sz w:val="21"/>
                <w:szCs w:val="21"/>
              </w:rPr>
              <w:t xml:space="preserve">UT-07</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step4_check_extension</w:t>
            </w:r>
          </w:p>
        </w:tc>
        <w:tc>
          <w:tcPr>
            <w:tcW w:type="dxa" w:w="2337"/>
            <w:tcMar>
              <w:top w:type="dxa" w:w="60"/>
              <w:left w:type="dxa" w:w="100"/>
              <w:bottom w:type="dxa" w:w="60"/>
              <w:right w:type="dxa" w:w="100"/>
            </w:tcMar>
          </w:tcPr>
          <w:p>
            <w:r>
              <w:rPr>
                <w:sz w:val="21"/>
                <w:szCs w:val="21"/>
              </w:rPr>
              <w:t xml:space="preserve">extension interdite / autorisée</w:t>
            </w:r>
          </w:p>
        </w:tc>
        <w:tc>
          <w:tcPr>
            <w:tcW w:type="dxa" w:w="2337"/>
            <w:tcMar>
              <w:top w:type="dxa" w:w="60"/>
              <w:left w:type="dxa" w:w="100"/>
              <w:bottom w:type="dxa" w:w="60"/>
              <w:right w:type="dxa" w:w="100"/>
            </w:tcMar>
          </w:tcPr>
          <w:p>
            <w:r>
              <w:rPr>
                <w:sz w:val="21"/>
                <w:szCs w:val="21"/>
              </w:rPr>
              <w:t xml:space="preserve">Erreur / extension renvoyée</w:t>
            </w:r>
          </w:p>
        </w:tc>
      </w:tr>
      <w:tr>
        <w:trPr>
          <w:tblHeader w:val="false"/>
        </w:trPr>
        <w:tc>
          <w:tcPr>
            <w:tcW w:type="dxa" w:w="2337"/>
            <w:tcMar>
              <w:top w:type="dxa" w:w="60"/>
              <w:left w:type="dxa" w:w="100"/>
              <w:bottom w:type="dxa" w:w="60"/>
              <w:right w:type="dxa" w:w="100"/>
            </w:tcMar>
          </w:tcPr>
          <w:p>
            <w:r>
              <w:rPr>
                <w:sz w:val="21"/>
                <w:szCs w:val="21"/>
              </w:rPr>
              <w:t xml:space="preserve">UT-08</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step5_generate_safe_name</w:t>
            </w:r>
            <w:r>
              <w:rPr>
                <w:sz w:val="21"/>
                <w:szCs w:val="21"/>
              </w:rPr>
              <w:t xml:space="preserve"> / </w:t>
            </w:r>
            <w:r>
              <w:rPr>
                <w:rFonts w:ascii="Consolas" w:cs="Consolas" w:eastAsia="Consolas" w:hAnsi="Consolas"/>
                <w:color w:val="1f2937"/>
                <w:sz w:val="19"/>
                <w:szCs w:val="19"/>
              </w:rPr>
              <w:t xml:space="preserve">step1_check_presence</w:t>
            </w:r>
          </w:p>
        </w:tc>
        <w:tc>
          <w:tcPr>
            <w:tcW w:type="dxa" w:w="2337"/>
            <w:tcMar>
              <w:top w:type="dxa" w:w="60"/>
              <w:left w:type="dxa" w:w="100"/>
              <w:bottom w:type="dxa" w:w="60"/>
              <w:right w:type="dxa" w:w="100"/>
            </w:tcMar>
          </w:tcPr>
          <w:p>
            <w:r>
              <w:rPr>
                <w:sz w:val="21"/>
                <w:szCs w:val="21"/>
              </w:rPr>
              <w:t xml:space="preserve">deux appels / fichier absent</w:t>
            </w:r>
          </w:p>
        </w:tc>
        <w:tc>
          <w:tcPr>
            <w:tcW w:type="dxa" w:w="2337"/>
            <w:tcMar>
              <w:top w:type="dxa" w:w="60"/>
              <w:left w:type="dxa" w:w="100"/>
              <w:bottom w:type="dxa" w:w="60"/>
              <w:right w:type="dxa" w:w="100"/>
            </w:tcMar>
          </w:tcPr>
          <w:p>
            <w:r>
              <w:rPr>
                <w:sz w:val="21"/>
                <w:szCs w:val="21"/>
              </w:rPr>
              <w:t xml:space="preserve">Noms uniques / erreur</w:t>
            </w:r>
          </w:p>
        </w:tc>
      </w:tr>
      <w:tr>
        <w:trPr>
          <w:tblHeader w:val="false"/>
        </w:trPr>
        <w:tc>
          <w:tcPr>
            <w:tcW w:type="dxa" w:w="2337"/>
            <w:tcMar>
              <w:top w:type="dxa" w:w="60"/>
              <w:left w:type="dxa" w:w="100"/>
              <w:bottom w:type="dxa" w:w="60"/>
              <w:right w:type="dxa" w:w="100"/>
            </w:tcMar>
          </w:tcPr>
          <w:p>
            <w:r>
              <w:rPr>
                <w:sz w:val="21"/>
                <w:szCs w:val="21"/>
              </w:rPr>
              <w:t xml:space="preserve">UT-09 à UT-12</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auth_service.is_admin</w:t>
            </w:r>
          </w:p>
        </w:tc>
        <w:tc>
          <w:tcPr>
            <w:tcW w:type="dxa" w:w="2337"/>
            <w:tcMar>
              <w:top w:type="dxa" w:w="60"/>
              <w:left w:type="dxa" w:w="100"/>
              <w:bottom w:type="dxa" w:w="60"/>
              <w:right w:type="dxa" w:w="100"/>
            </w:tcMar>
          </w:tcPr>
          <w:p>
            <w:r>
              <w:rPr>
                <w:sz w:val="21"/>
                <w:szCs w:val="21"/>
              </w:rPr>
              <w:t xml:space="preserve">avec/sans groupe </w:t>
            </w:r>
            <w:r>
              <w:rPr>
                <w:rFonts w:ascii="Consolas" w:cs="Consolas" w:eastAsia="Consolas" w:hAnsi="Consolas"/>
                <w:color w:val="1f2937"/>
                <w:sz w:val="19"/>
                <w:szCs w:val="19"/>
              </w:rPr>
              <w:t xml:space="preserve">/admin</w:t>
            </w:r>
            <w:r>
              <w:rPr>
                <w:sz w:val="21"/>
                <w:szCs w:val="21"/>
              </w:rPr>
              <w:t xml:space="preserve">, </w:t>
            </w:r>
            <w:r>
              <w:rPr>
                <w:rFonts w:ascii="Consolas" w:cs="Consolas" w:eastAsia="Consolas" w:hAnsi="Consolas"/>
                <w:color w:val="1f2937"/>
                <w:sz w:val="19"/>
                <w:szCs w:val="19"/>
              </w:rPr>
              <w:t xml:space="preserve">None</w:t>
            </w:r>
            <w:r>
              <w:rPr>
                <w:sz w:val="21"/>
                <w:szCs w:val="21"/>
              </w:rPr>
              <w:t xml:space="preserve">, sans champ </w:t>
            </w:r>
            <w:r>
              <w:rPr>
                <w:rFonts w:ascii="Consolas" w:cs="Consolas" w:eastAsia="Consolas" w:hAnsi="Consolas"/>
                <w:color w:val="1f2937"/>
                <w:sz w:val="19"/>
                <w:szCs w:val="19"/>
              </w:rPr>
              <w:t xml:space="preserve">groups</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True</w:t>
            </w:r>
            <w:r>
              <w:rPr>
                <w:sz w:val="21"/>
                <w:szCs w:val="21"/>
              </w:rPr>
              <w:t xml:space="preserve">/</w:t>
            </w:r>
            <w:r>
              <w:rPr>
                <w:rFonts w:ascii="Consolas" w:cs="Consolas" w:eastAsia="Consolas" w:hAnsi="Consolas"/>
                <w:color w:val="1f2937"/>
                <w:sz w:val="19"/>
                <w:szCs w:val="19"/>
              </w:rPr>
              <w:t xml:space="preserve">False</w:t>
            </w:r>
            <w:r>
              <w:rPr>
                <w:sz w:val="21"/>
                <w:szCs w:val="21"/>
              </w:rPr>
              <w:t xml:space="preserve"> cohérents</w:t>
            </w:r>
          </w:p>
        </w:tc>
      </w:tr>
      <w:tr>
        <w:trPr>
          <w:tblHeader w:val="false"/>
        </w:trPr>
        <w:tc>
          <w:tcPr>
            <w:tcW w:type="dxa" w:w="2337"/>
            <w:tcMar>
              <w:top w:type="dxa" w:w="60"/>
              <w:left w:type="dxa" w:w="100"/>
              <w:bottom w:type="dxa" w:w="60"/>
              <w:right w:type="dxa" w:w="100"/>
            </w:tcMar>
          </w:tcPr>
          <w:p>
            <w:r>
              <w:rPr>
                <w:sz w:val="21"/>
                <w:szCs w:val="21"/>
              </w:rPr>
              <w:t xml:space="preserve">(suppl.)</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handle_upload</w:t>
            </w:r>
            <w:r>
              <w:rPr>
                <w:sz w:val="21"/>
                <w:szCs w:val="21"/>
              </w:rPr>
              <w:t xml:space="preserve"> bout en bout</w:t>
            </w:r>
          </w:p>
        </w:tc>
        <w:tc>
          <w:tcPr>
            <w:tcW w:type="dxa" w:w="2337"/>
            <w:tcMar>
              <w:top w:type="dxa" w:w="60"/>
              <w:left w:type="dxa" w:w="100"/>
              <w:bottom w:type="dxa" w:w="60"/>
              <w:right w:type="dxa" w:w="100"/>
            </w:tcMar>
          </w:tcPr>
          <w:p>
            <w:r>
              <w:rPr>
                <w:sz w:val="21"/>
                <w:szCs w:val="21"/>
              </w:rPr>
              <w:t xml:space="preserve">fichier PDF valide</w:t>
            </w:r>
          </w:p>
        </w:tc>
        <w:tc>
          <w:tcPr>
            <w:tcW w:type="dxa" w:w="2337"/>
            <w:tcMar>
              <w:top w:type="dxa" w:w="60"/>
              <w:left w:type="dxa" w:w="100"/>
              <w:bottom w:type="dxa" w:w="60"/>
              <w:right w:type="dxa" w:w="100"/>
            </w:tcMar>
          </w:tcPr>
          <w:p>
            <w:r>
              <w:rPr>
                <w:sz w:val="21"/>
                <w:szCs w:val="21"/>
              </w:rPr>
              <w:t xml:space="preserve">Upload complet réussi</w:t>
            </w:r>
          </w:p>
        </w:tc>
      </w:tr>
    </w:tbl>
    <w:p>
      <w:pPr>
        <w:spacing w:after="160"/>
      </w:pPr>
    </w:p>
    <w:p>
      <w:pPr>
        <w:pStyle w:val="Heading2"/>
        <w:spacing w:after="140" w:before="300"/>
      </w:pPr>
      <w:r>
        <w:t xml:space="preserve">Détail des tests d'intégration (IT) — client de test Flask</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2337"/>
        <w:gridCol w:w="2337"/>
        <w:gridCol w:w="2337"/>
        <w:gridCol w:w="2337"/>
      </w:tblGrid>
      <w:tr>
        <w:trPr>
          <w:tblHeader/>
        </w:trPr>
        <w:tc>
          <w:tcPr>
            <w:tcW w:type="dxa" w:w="2337"/>
            <w:shd w:fill="1f2937" w:color="auto" w:val="clear"/>
            <w:tcMar>
              <w:top w:type="dxa" w:w="60"/>
              <w:left w:type="dxa" w:w="100"/>
              <w:bottom w:type="dxa" w:w="60"/>
              <w:right w:type="dxa" w:w="100"/>
            </w:tcMar>
          </w:tcPr>
          <w:p>
            <w:r>
              <w:rPr>
                <w:b/>
                <w:bCs/>
                <w:color w:val="FFFFFF"/>
                <w:sz w:val="19"/>
                <w:szCs w:val="19"/>
              </w:rPr>
              <w:t xml:space="preserve">ID</w:t>
            </w:r>
          </w:p>
        </w:tc>
        <w:tc>
          <w:tcPr>
            <w:tcW w:type="dxa" w:w="2337"/>
            <w:shd w:fill="1f2937" w:color="auto" w:val="clear"/>
            <w:tcMar>
              <w:top w:type="dxa" w:w="60"/>
              <w:left w:type="dxa" w:w="100"/>
              <w:bottom w:type="dxa" w:w="60"/>
              <w:right w:type="dxa" w:w="100"/>
            </w:tcMar>
          </w:tcPr>
          <w:p>
            <w:r>
              <w:rPr>
                <w:b/>
                <w:bCs/>
                <w:color w:val="FFFFFF"/>
                <w:sz w:val="19"/>
                <w:szCs w:val="19"/>
              </w:rPr>
              <w:t xml:space="preserve">Route</w:t>
            </w:r>
          </w:p>
        </w:tc>
        <w:tc>
          <w:tcPr>
            <w:tcW w:type="dxa" w:w="2337"/>
            <w:shd w:fill="1f2937" w:color="auto" w:val="clear"/>
            <w:tcMar>
              <w:top w:type="dxa" w:w="60"/>
              <w:left w:type="dxa" w:w="100"/>
              <w:bottom w:type="dxa" w:w="60"/>
              <w:right w:type="dxa" w:w="100"/>
            </w:tcMar>
          </w:tcPr>
          <w:p>
            <w:r>
              <w:rPr>
                <w:b/>
                <w:bCs/>
                <w:color w:val="FFFFFF"/>
                <w:sz w:val="19"/>
                <w:szCs w:val="19"/>
              </w:rPr>
              <w:t xml:space="preserve">Cas</w:t>
            </w:r>
          </w:p>
        </w:tc>
        <w:tc>
          <w:tcPr>
            <w:tcW w:type="dxa" w:w="2337"/>
            <w:shd w:fill="1f2937" w:color="auto" w:val="clear"/>
            <w:tcMar>
              <w:top w:type="dxa" w:w="60"/>
              <w:left w:type="dxa" w:w="100"/>
              <w:bottom w:type="dxa" w:w="60"/>
              <w:right w:type="dxa" w:w="100"/>
            </w:tcMar>
          </w:tcPr>
          <w:p>
            <w:r>
              <w:rPr>
                <w:b/>
                <w:bCs/>
                <w:color w:val="FFFFFF"/>
                <w:sz w:val="19"/>
                <w:szCs w:val="19"/>
              </w:rPr>
              <w:t xml:space="preserve">Résultat attendu</w:t>
            </w:r>
          </w:p>
        </w:tc>
      </w:tr>
      <w:tr>
        <w:trPr>
          <w:tblHeader w:val="false"/>
        </w:trPr>
        <w:tc>
          <w:tcPr>
            <w:tcW w:type="dxa" w:w="2337"/>
            <w:tcMar>
              <w:top w:type="dxa" w:w="60"/>
              <w:left w:type="dxa" w:w="100"/>
              <w:bottom w:type="dxa" w:w="60"/>
              <w:right w:type="dxa" w:w="100"/>
            </w:tcMar>
          </w:tcPr>
          <w:p>
            <w:r>
              <w:rPr>
                <w:sz w:val="21"/>
                <w:szCs w:val="21"/>
              </w:rPr>
              <w:t xml:space="preserve">IT-01</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GET /api/annonces</w:t>
            </w:r>
          </w:p>
        </w:tc>
        <w:tc>
          <w:tcPr>
            <w:tcW w:type="dxa" w:w="2337"/>
            <w:tcMar>
              <w:top w:type="dxa" w:w="60"/>
              <w:left w:type="dxa" w:w="100"/>
              <w:bottom w:type="dxa" w:w="60"/>
              <w:right w:type="dxa" w:w="100"/>
            </w:tcMar>
          </w:tcPr>
          <w:p>
            <w:r>
              <w:rPr>
                <w:sz w:val="21"/>
                <w:szCs w:val="21"/>
              </w:rPr>
              <w:t xml:space="preserve">sans session</w:t>
            </w:r>
          </w:p>
        </w:tc>
        <w:tc>
          <w:tcPr>
            <w:tcW w:type="dxa" w:w="2337"/>
            <w:tcMar>
              <w:top w:type="dxa" w:w="60"/>
              <w:left w:type="dxa" w:w="100"/>
              <w:bottom w:type="dxa" w:w="60"/>
              <w:right w:type="dxa" w:w="100"/>
            </w:tcMar>
          </w:tcPr>
          <w:p>
            <w:r>
              <w:rPr>
                <w:sz w:val="21"/>
                <w:szCs w:val="21"/>
              </w:rPr>
              <w:t xml:space="preserve">401</w:t>
            </w:r>
          </w:p>
        </w:tc>
      </w:tr>
      <w:tr>
        <w:trPr>
          <w:tblHeader w:val="false"/>
        </w:trPr>
        <w:tc>
          <w:tcPr>
            <w:tcW w:type="dxa" w:w="2337"/>
            <w:tcMar>
              <w:top w:type="dxa" w:w="60"/>
              <w:left w:type="dxa" w:w="100"/>
              <w:bottom w:type="dxa" w:w="60"/>
              <w:right w:type="dxa" w:w="100"/>
            </w:tcMar>
          </w:tcPr>
          <w:p>
            <w:r>
              <w:rPr>
                <w:sz w:val="21"/>
                <w:szCs w:val="21"/>
              </w:rPr>
              <w:t xml:space="preserve">IT-02</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GET /api/annonces</w:t>
            </w:r>
          </w:p>
        </w:tc>
        <w:tc>
          <w:tcPr>
            <w:tcW w:type="dxa" w:w="2337"/>
            <w:tcMar>
              <w:top w:type="dxa" w:w="60"/>
              <w:left w:type="dxa" w:w="100"/>
              <w:bottom w:type="dxa" w:w="60"/>
              <w:right w:type="dxa" w:w="100"/>
            </w:tcMar>
          </w:tcPr>
          <w:p>
            <w:r>
              <w:rPr>
                <w:sz w:val="21"/>
                <w:szCs w:val="21"/>
              </w:rPr>
              <w:t xml:space="preserve">utilisateur standard</w:t>
            </w:r>
          </w:p>
        </w:tc>
        <w:tc>
          <w:tcPr>
            <w:tcW w:type="dxa" w:w="2337"/>
            <w:tcMar>
              <w:top w:type="dxa" w:w="60"/>
              <w:left w:type="dxa" w:w="100"/>
              <w:bottom w:type="dxa" w:w="60"/>
              <w:right w:type="dxa" w:w="100"/>
            </w:tcMar>
          </w:tcPr>
          <w:p>
            <w:r>
              <w:rPr>
                <w:sz w:val="21"/>
                <w:szCs w:val="21"/>
              </w:rPr>
              <w:t xml:space="preserve">200, liste vide</w:t>
            </w:r>
          </w:p>
        </w:tc>
      </w:tr>
      <w:tr>
        <w:trPr>
          <w:tblHeader w:val="false"/>
        </w:trPr>
        <w:tc>
          <w:tcPr>
            <w:tcW w:type="dxa" w:w="2337"/>
            <w:tcMar>
              <w:top w:type="dxa" w:w="60"/>
              <w:left w:type="dxa" w:w="100"/>
              <w:bottom w:type="dxa" w:w="60"/>
              <w:right w:type="dxa" w:w="100"/>
            </w:tcMar>
          </w:tcPr>
          <w:p>
            <w:r>
              <w:rPr>
                <w:sz w:val="21"/>
                <w:szCs w:val="21"/>
              </w:rPr>
              <w:t xml:space="preserve">IT-03</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POST /api/annonces</w:t>
            </w:r>
          </w:p>
        </w:tc>
        <w:tc>
          <w:tcPr>
            <w:tcW w:type="dxa" w:w="2337"/>
            <w:tcMar>
              <w:top w:type="dxa" w:w="60"/>
              <w:left w:type="dxa" w:w="100"/>
              <w:bottom w:type="dxa" w:w="60"/>
              <w:right w:type="dxa" w:w="100"/>
            </w:tcMar>
          </w:tcPr>
          <w:p>
            <w:r>
              <w:rPr>
                <w:sz w:val="21"/>
                <w:szCs w:val="21"/>
              </w:rPr>
              <w:t xml:space="preserve">utilisateur standard (non admin)</w:t>
            </w:r>
          </w:p>
        </w:tc>
        <w:tc>
          <w:tcPr>
            <w:tcW w:type="dxa" w:w="2337"/>
            <w:tcMar>
              <w:top w:type="dxa" w:w="60"/>
              <w:left w:type="dxa" w:w="100"/>
              <w:bottom w:type="dxa" w:w="60"/>
              <w:right w:type="dxa" w:w="100"/>
            </w:tcMar>
          </w:tcPr>
          <w:p>
            <w:r>
              <w:rPr>
                <w:sz w:val="21"/>
                <w:szCs w:val="21"/>
              </w:rPr>
              <w:t xml:space="preserve">403</w:t>
            </w:r>
          </w:p>
        </w:tc>
      </w:tr>
      <w:tr>
        <w:trPr>
          <w:tblHeader w:val="false"/>
        </w:trPr>
        <w:tc>
          <w:tcPr>
            <w:tcW w:type="dxa" w:w="2337"/>
            <w:tcMar>
              <w:top w:type="dxa" w:w="60"/>
              <w:left w:type="dxa" w:w="100"/>
              <w:bottom w:type="dxa" w:w="60"/>
              <w:right w:type="dxa" w:w="100"/>
            </w:tcMar>
          </w:tcPr>
          <w:p>
            <w:r>
              <w:rPr>
                <w:sz w:val="21"/>
                <w:szCs w:val="21"/>
              </w:rPr>
              <w:t xml:space="preserve">IT-04</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POST /api/annonces</w:t>
            </w:r>
            <w:r>
              <w:rPr>
                <w:sz w:val="21"/>
                <w:szCs w:val="21"/>
              </w:rPr>
              <w:t xml:space="preserve"> puis </w:t>
            </w:r>
            <w:r>
              <w:rPr>
                <w:rFonts w:ascii="Consolas" w:cs="Consolas" w:eastAsia="Consolas" w:hAnsi="Consolas"/>
                <w:color w:val="1f2937"/>
                <w:sz w:val="19"/>
                <w:szCs w:val="19"/>
              </w:rPr>
              <w:t xml:space="preserve">GET</w:t>
            </w:r>
          </w:p>
        </w:tc>
        <w:tc>
          <w:tcPr>
            <w:tcW w:type="dxa" w:w="2337"/>
            <w:tcMar>
              <w:top w:type="dxa" w:w="60"/>
              <w:left w:type="dxa" w:w="100"/>
              <w:bottom w:type="dxa" w:w="60"/>
              <w:right w:type="dxa" w:w="100"/>
            </w:tcMar>
          </w:tcPr>
          <w:p>
            <w:r>
              <w:rPr>
                <w:sz w:val="21"/>
                <w:szCs w:val="21"/>
              </w:rPr>
              <w:t xml:space="preserve">admin</w:t>
            </w:r>
          </w:p>
        </w:tc>
        <w:tc>
          <w:tcPr>
            <w:tcW w:type="dxa" w:w="2337"/>
            <w:tcMar>
              <w:top w:type="dxa" w:w="60"/>
              <w:left w:type="dxa" w:w="100"/>
              <w:bottom w:type="dxa" w:w="60"/>
              <w:right w:type="dxa" w:w="100"/>
            </w:tcMar>
          </w:tcPr>
          <w:p>
            <w:r>
              <w:rPr>
                <w:sz w:val="21"/>
                <w:szCs w:val="21"/>
              </w:rPr>
              <w:t xml:space="preserve">201, annonce visible</w:t>
            </w:r>
          </w:p>
        </w:tc>
      </w:tr>
      <w:tr>
        <w:trPr>
          <w:tblHeader w:val="false"/>
        </w:trPr>
        <w:tc>
          <w:tcPr>
            <w:tcW w:type="dxa" w:w="2337"/>
            <w:tcMar>
              <w:top w:type="dxa" w:w="60"/>
              <w:left w:type="dxa" w:w="100"/>
              <w:bottom w:type="dxa" w:w="60"/>
              <w:right w:type="dxa" w:w="100"/>
            </w:tcMar>
          </w:tcPr>
          <w:p>
            <w:r>
              <w:rPr>
                <w:sz w:val="21"/>
                <w:szCs w:val="21"/>
              </w:rPr>
              <w:t xml:space="preserve">IT-05</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PUT /api/annonces/{id}</w:t>
            </w:r>
          </w:p>
        </w:tc>
        <w:tc>
          <w:tcPr>
            <w:tcW w:type="dxa" w:w="2337"/>
            <w:tcMar>
              <w:top w:type="dxa" w:w="60"/>
              <w:left w:type="dxa" w:w="100"/>
              <w:bottom w:type="dxa" w:w="60"/>
              <w:right w:type="dxa" w:w="100"/>
            </w:tcMar>
          </w:tcPr>
          <w:p>
            <w:r>
              <w:rPr>
                <w:sz w:val="21"/>
                <w:szCs w:val="21"/>
              </w:rPr>
              <w:t xml:space="preserve">admin</w:t>
            </w:r>
          </w:p>
        </w:tc>
        <w:tc>
          <w:tcPr>
            <w:tcW w:type="dxa" w:w="2337"/>
            <w:tcMar>
              <w:top w:type="dxa" w:w="60"/>
              <w:left w:type="dxa" w:w="100"/>
              <w:bottom w:type="dxa" w:w="60"/>
              <w:right w:type="dxa" w:w="100"/>
            </w:tcMar>
          </w:tcPr>
          <w:p>
            <w:r>
              <w:rPr>
                <w:sz w:val="21"/>
                <w:szCs w:val="21"/>
              </w:rPr>
              <w:t xml:space="preserve">200</w:t>
            </w:r>
          </w:p>
        </w:tc>
      </w:tr>
      <w:tr>
        <w:trPr>
          <w:tblHeader w:val="false"/>
        </w:trPr>
        <w:tc>
          <w:tcPr>
            <w:tcW w:type="dxa" w:w="2337"/>
            <w:tcMar>
              <w:top w:type="dxa" w:w="60"/>
              <w:left w:type="dxa" w:w="100"/>
              <w:bottom w:type="dxa" w:w="60"/>
              <w:right w:type="dxa" w:w="100"/>
            </w:tcMar>
          </w:tcPr>
          <w:p>
            <w:r>
              <w:rPr>
                <w:sz w:val="21"/>
                <w:szCs w:val="21"/>
              </w:rPr>
              <w:t xml:space="preserve">IT-06</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DELETE /api/annonces/{id}</w:t>
            </w:r>
          </w:p>
        </w:tc>
        <w:tc>
          <w:tcPr>
            <w:tcW w:type="dxa" w:w="2337"/>
            <w:tcMar>
              <w:top w:type="dxa" w:w="60"/>
              <w:left w:type="dxa" w:w="100"/>
              <w:bottom w:type="dxa" w:w="60"/>
              <w:right w:type="dxa" w:w="100"/>
            </w:tcMar>
          </w:tcPr>
          <w:p>
            <w:r>
              <w:rPr>
                <w:sz w:val="21"/>
                <w:szCs w:val="21"/>
              </w:rPr>
              <w:t xml:space="preserve">admin</w:t>
            </w:r>
          </w:p>
        </w:tc>
        <w:tc>
          <w:tcPr>
            <w:tcW w:type="dxa" w:w="2337"/>
            <w:tcMar>
              <w:top w:type="dxa" w:w="60"/>
              <w:left w:type="dxa" w:w="100"/>
              <w:bottom w:type="dxa" w:w="60"/>
              <w:right w:type="dxa" w:w="100"/>
            </w:tcMar>
          </w:tcPr>
          <w:p>
            <w:r>
              <w:rPr>
                <w:sz w:val="21"/>
                <w:szCs w:val="21"/>
              </w:rPr>
              <w:t xml:space="preserve">200</w:t>
            </w:r>
          </w:p>
        </w:tc>
      </w:tr>
      <w:tr>
        <w:trPr>
          <w:tblHeader w:val="false"/>
        </w:trPr>
        <w:tc>
          <w:tcPr>
            <w:tcW w:type="dxa" w:w="2337"/>
            <w:tcMar>
              <w:top w:type="dxa" w:w="60"/>
              <w:left w:type="dxa" w:w="100"/>
              <w:bottom w:type="dxa" w:w="60"/>
              <w:right w:type="dxa" w:w="100"/>
            </w:tcMar>
          </w:tcPr>
          <w:p>
            <w:r>
              <w:rPr>
                <w:sz w:val="21"/>
                <w:szCs w:val="21"/>
              </w:rPr>
              <w:t xml:space="preserve">IT-07</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GET /api/is_admin</w:t>
            </w:r>
          </w:p>
        </w:tc>
        <w:tc>
          <w:tcPr>
            <w:tcW w:type="dxa" w:w="2337"/>
            <w:tcMar>
              <w:top w:type="dxa" w:w="60"/>
              <w:left w:type="dxa" w:w="100"/>
              <w:bottom w:type="dxa" w:w="60"/>
              <w:right w:type="dxa" w:w="100"/>
            </w:tcMar>
          </w:tcPr>
          <w:p>
            <w:r>
              <w:rPr>
                <w:sz w:val="21"/>
                <w:szCs w:val="21"/>
              </w:rPr>
              <w:t xml:space="preserve">admin vs standard</w:t>
            </w:r>
          </w:p>
        </w:tc>
        <w:tc>
          <w:tcPr>
            <w:tcW w:type="dxa" w:w="2337"/>
            <w:tcMar>
              <w:top w:type="dxa" w:w="60"/>
              <w:left w:type="dxa" w:w="100"/>
              <w:bottom w:type="dxa" w:w="60"/>
              <w:right w:type="dxa" w:w="100"/>
            </w:tcMar>
          </w:tcPr>
          <w:p>
            <w:r>
              <w:rPr>
                <w:sz w:val="21"/>
                <w:szCs w:val="21"/>
              </w:rPr>
              <w:t xml:space="preserve">reflète le groupe réel</w:t>
            </w:r>
          </w:p>
        </w:tc>
      </w:tr>
      <w:tr>
        <w:trPr>
          <w:tblHeader w:val="false"/>
        </w:trPr>
        <w:tc>
          <w:tcPr>
            <w:tcW w:type="dxa" w:w="2337"/>
            <w:tcMar>
              <w:top w:type="dxa" w:w="60"/>
              <w:left w:type="dxa" w:w="100"/>
              <w:bottom w:type="dxa" w:w="60"/>
              <w:right w:type="dxa" w:w="100"/>
            </w:tcMar>
          </w:tcPr>
          <w:p>
            <w:r>
              <w:rPr>
                <w:sz w:val="21"/>
                <w:szCs w:val="21"/>
              </w:rPr>
              <w:t xml:space="preserve">IT-08</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POST /api/fichiers/upload</w:t>
            </w:r>
          </w:p>
        </w:tc>
        <w:tc>
          <w:tcPr>
            <w:tcW w:type="dxa" w:w="2337"/>
            <w:tcMar>
              <w:top w:type="dxa" w:w="60"/>
              <w:left w:type="dxa" w:w="100"/>
              <w:bottom w:type="dxa" w:w="60"/>
              <w:right w:type="dxa" w:w="100"/>
            </w:tcMar>
          </w:tcPr>
          <w:p>
            <w:r>
              <w:rPr>
                <w:sz w:val="21"/>
                <w:szCs w:val="21"/>
              </w:rPr>
              <w:t xml:space="preserve">sans fichier joint</w:t>
            </w:r>
          </w:p>
        </w:tc>
        <w:tc>
          <w:tcPr>
            <w:tcW w:type="dxa" w:w="2337"/>
            <w:tcMar>
              <w:top w:type="dxa" w:w="60"/>
              <w:left w:type="dxa" w:w="100"/>
              <w:bottom w:type="dxa" w:w="60"/>
              <w:right w:type="dxa" w:w="100"/>
            </w:tcMar>
          </w:tcPr>
          <w:p>
            <w:r>
              <w:rPr>
                <w:sz w:val="21"/>
                <w:szCs w:val="21"/>
              </w:rPr>
              <w:t xml:space="preserve">400</w:t>
            </w:r>
          </w:p>
        </w:tc>
      </w:tr>
      <w:tr>
        <w:trPr>
          <w:tblHeader w:val="false"/>
        </w:trPr>
        <w:tc>
          <w:tcPr>
            <w:tcW w:type="dxa" w:w="2337"/>
            <w:tcMar>
              <w:top w:type="dxa" w:w="60"/>
              <w:left w:type="dxa" w:w="100"/>
              <w:bottom w:type="dxa" w:w="60"/>
              <w:right w:type="dxa" w:w="100"/>
            </w:tcMar>
          </w:tcPr>
          <w:p>
            <w:r>
              <w:rPr>
                <w:sz w:val="21"/>
                <w:szCs w:val="21"/>
              </w:rPr>
              <w:t xml:space="preserve">IT-09</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POST /api/evenements</w:t>
            </w:r>
          </w:p>
        </w:tc>
        <w:tc>
          <w:tcPr>
            <w:tcW w:type="dxa" w:w="2337"/>
            <w:tcMar>
              <w:top w:type="dxa" w:w="60"/>
              <w:left w:type="dxa" w:w="100"/>
              <w:bottom w:type="dxa" w:w="60"/>
              <w:right w:type="dxa" w:w="100"/>
            </w:tcMar>
          </w:tcPr>
          <w:p>
            <w:r>
              <w:rPr>
                <w:sz w:val="21"/>
                <w:szCs w:val="21"/>
              </w:rPr>
              <w:t xml:space="preserve">date_fin &lt; date_debut</w:t>
            </w:r>
          </w:p>
        </w:tc>
        <w:tc>
          <w:tcPr>
            <w:tcW w:type="dxa" w:w="2337"/>
            <w:tcMar>
              <w:top w:type="dxa" w:w="60"/>
              <w:left w:type="dxa" w:w="100"/>
              <w:bottom w:type="dxa" w:w="60"/>
              <w:right w:type="dxa" w:w="100"/>
            </w:tcMar>
          </w:tcPr>
          <w:p>
            <w:r>
              <w:rPr>
                <w:sz w:val="21"/>
                <w:szCs w:val="21"/>
              </w:rPr>
              <w:t xml:space="preserve">400</w:t>
            </w:r>
          </w:p>
        </w:tc>
      </w:tr>
      <w:tr>
        <w:trPr>
          <w:tblHeader w:val="false"/>
        </w:trPr>
        <w:tc>
          <w:tcPr>
            <w:tcW w:type="dxa" w:w="2337"/>
            <w:tcMar>
              <w:top w:type="dxa" w:w="60"/>
              <w:left w:type="dxa" w:w="100"/>
              <w:bottom w:type="dxa" w:w="60"/>
              <w:right w:type="dxa" w:w="100"/>
            </w:tcMar>
          </w:tcPr>
          <w:p>
            <w:r>
              <w:rPr>
                <w:sz w:val="21"/>
                <w:szCs w:val="21"/>
              </w:rPr>
              <w:t xml:space="preserve">IT-10</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GET /</w:t>
            </w:r>
          </w:p>
        </w:tc>
        <w:tc>
          <w:tcPr>
            <w:tcW w:type="dxa" w:w="2337"/>
            <w:tcMar>
              <w:top w:type="dxa" w:w="60"/>
              <w:left w:type="dxa" w:w="100"/>
              <w:bottom w:type="dxa" w:w="60"/>
              <w:right w:type="dxa" w:w="100"/>
            </w:tcMar>
          </w:tcPr>
          <w:p>
            <w:r>
              <w:rPr>
                <w:sz w:val="21"/>
                <w:szCs w:val="21"/>
              </w:rPr>
              <w:t xml:space="preserve">sans session</w:t>
            </w:r>
          </w:p>
        </w:tc>
        <w:tc>
          <w:tcPr>
            <w:tcW w:type="dxa" w:w="2337"/>
            <w:tcMar>
              <w:top w:type="dxa" w:w="60"/>
              <w:left w:type="dxa" w:w="100"/>
              <w:bottom w:type="dxa" w:w="60"/>
              <w:right w:type="dxa" w:w="100"/>
            </w:tcMar>
          </w:tcPr>
          <w:p>
            <w:r>
              <w:rPr>
                <w:sz w:val="21"/>
                <w:szCs w:val="21"/>
              </w:rPr>
              <w:t xml:space="preserve">302 vers </w:t>
            </w:r>
            <w:r>
              <w:rPr>
                <w:rFonts w:ascii="Consolas" w:cs="Consolas" w:eastAsia="Consolas" w:hAnsi="Consolas"/>
                <w:color w:val="1f2937"/>
                <w:sz w:val="19"/>
                <w:szCs w:val="19"/>
              </w:rPr>
              <w:t xml:space="preserve">/login</w:t>
            </w:r>
          </w:p>
        </w:tc>
      </w:tr>
      <w:tr>
        <w:trPr>
          <w:tblHeader w:val="false"/>
        </w:trPr>
        <w:tc>
          <w:tcPr>
            <w:tcW w:type="dxa" w:w="2337"/>
            <w:tcMar>
              <w:top w:type="dxa" w:w="60"/>
              <w:left w:type="dxa" w:w="100"/>
              <w:bottom w:type="dxa" w:w="60"/>
              <w:right w:type="dxa" w:w="100"/>
            </w:tcMar>
          </w:tcPr>
          <w:p>
            <w:r>
              <w:rPr>
                <w:sz w:val="21"/>
                <w:szCs w:val="21"/>
              </w:rPr>
              <w:t xml:space="preserve">(suppl.)</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POST /api/annonces</w:t>
            </w:r>
          </w:p>
        </w:tc>
        <w:tc>
          <w:tcPr>
            <w:tcW w:type="dxa" w:w="2337"/>
            <w:tcMar>
              <w:top w:type="dxa" w:w="60"/>
              <w:left w:type="dxa" w:w="100"/>
              <w:bottom w:type="dxa" w:w="60"/>
              <w:right w:type="dxa" w:w="100"/>
            </w:tcMar>
          </w:tcPr>
          <w:p>
            <w:r>
              <w:rPr>
                <w:sz w:val="21"/>
                <w:szCs w:val="21"/>
              </w:rPr>
              <w:t xml:space="preserve">titre manquant</w:t>
            </w:r>
          </w:p>
        </w:tc>
        <w:tc>
          <w:tcPr>
            <w:tcW w:type="dxa" w:w="2337"/>
            <w:tcMar>
              <w:top w:type="dxa" w:w="60"/>
              <w:left w:type="dxa" w:w="100"/>
              <w:bottom w:type="dxa" w:w="60"/>
              <w:right w:type="dxa" w:w="100"/>
            </w:tcMar>
          </w:tcPr>
          <w:p>
            <w:r>
              <w:rPr>
                <w:sz w:val="21"/>
                <w:szCs w:val="21"/>
              </w:rPr>
              <w:t xml:space="preserve">400</w:t>
            </w:r>
          </w:p>
        </w:tc>
      </w:tr>
    </w:tbl>
    <w:p>
      <w:pPr>
        <w:spacing w:after="160"/>
      </w:pPr>
    </w:p>
    <w:p>
      <w:pPr>
        <w:pStyle w:val="Heading2"/>
        <w:spacing w:after="140" w:before="300"/>
      </w:pPr>
      <w:r>
        <w:t xml:space="preserve">Détail des tests de sécurité (TS) — OWASP Top 10 2021</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2337"/>
        <w:gridCol w:w="2337"/>
        <w:gridCol w:w="2337"/>
        <w:gridCol w:w="2337"/>
      </w:tblGrid>
      <w:tr>
        <w:trPr>
          <w:tblHeader/>
        </w:trPr>
        <w:tc>
          <w:tcPr>
            <w:tcW w:type="dxa" w:w="2337"/>
            <w:shd w:fill="1f2937" w:color="auto" w:val="clear"/>
            <w:tcMar>
              <w:top w:type="dxa" w:w="60"/>
              <w:left w:type="dxa" w:w="100"/>
              <w:bottom w:type="dxa" w:w="60"/>
              <w:right w:type="dxa" w:w="100"/>
            </w:tcMar>
          </w:tcPr>
          <w:p>
            <w:r>
              <w:rPr>
                <w:b/>
                <w:bCs/>
                <w:color w:val="FFFFFF"/>
                <w:sz w:val="19"/>
                <w:szCs w:val="19"/>
              </w:rPr>
              <w:t xml:space="preserve">ID</w:t>
            </w:r>
          </w:p>
        </w:tc>
        <w:tc>
          <w:tcPr>
            <w:tcW w:type="dxa" w:w="2337"/>
            <w:shd w:fill="1f2937" w:color="auto" w:val="clear"/>
            <w:tcMar>
              <w:top w:type="dxa" w:w="60"/>
              <w:left w:type="dxa" w:w="100"/>
              <w:bottom w:type="dxa" w:w="60"/>
              <w:right w:type="dxa" w:w="100"/>
            </w:tcMar>
          </w:tcPr>
          <w:p>
            <w:r>
              <w:rPr>
                <w:b/>
                <w:bCs/>
                <w:color w:val="FFFFFF"/>
                <w:sz w:val="19"/>
                <w:szCs w:val="19"/>
              </w:rPr>
              <w:t xml:space="preserve">Vecteur</w:t>
            </w:r>
          </w:p>
        </w:tc>
        <w:tc>
          <w:tcPr>
            <w:tcW w:type="dxa" w:w="2337"/>
            <w:shd w:fill="1f2937" w:color="auto" w:val="clear"/>
            <w:tcMar>
              <w:top w:type="dxa" w:w="60"/>
              <w:left w:type="dxa" w:w="100"/>
              <w:bottom w:type="dxa" w:w="60"/>
              <w:right w:type="dxa" w:w="100"/>
            </w:tcMar>
          </w:tcPr>
          <w:p>
            <w:r>
              <w:rPr>
                <w:b/>
                <w:bCs/>
                <w:color w:val="FFFFFF"/>
                <w:sz w:val="19"/>
                <w:szCs w:val="19"/>
              </w:rPr>
              <w:t xml:space="preserve">Résultat attendu</w:t>
            </w:r>
          </w:p>
        </w:tc>
        <w:tc>
          <w:tcPr>
            <w:tcW w:type="dxa" w:w="2337"/>
            <w:shd w:fill="1f2937" w:color="auto" w:val="clear"/>
            <w:tcMar>
              <w:top w:type="dxa" w:w="60"/>
              <w:left w:type="dxa" w:w="100"/>
              <w:bottom w:type="dxa" w:w="60"/>
              <w:right w:type="dxa" w:w="100"/>
            </w:tcMar>
          </w:tcPr>
          <w:p>
            <w:r>
              <w:rPr>
                <w:b/>
                <w:bCs/>
                <w:color w:val="FFFFFF"/>
                <w:sz w:val="19"/>
                <w:szCs w:val="19"/>
              </w:rPr>
              <w:t xml:space="preserve">Résultat réel</w:t>
            </w:r>
          </w:p>
        </w:tc>
      </w:tr>
      <w:tr>
        <w:trPr>
          <w:tblHeader w:val="false"/>
        </w:trPr>
        <w:tc>
          <w:tcPr>
            <w:tcW w:type="dxa" w:w="2337"/>
            <w:tcMar>
              <w:top w:type="dxa" w:w="60"/>
              <w:left w:type="dxa" w:w="100"/>
              <w:bottom w:type="dxa" w:w="60"/>
              <w:right w:type="dxa" w:w="100"/>
            </w:tcMar>
          </w:tcPr>
          <w:p>
            <w:r>
              <w:rPr>
                <w:sz w:val="21"/>
                <w:szCs w:val="21"/>
              </w:rPr>
              <w:t xml:space="preserve">TS-01</w:t>
            </w:r>
          </w:p>
        </w:tc>
        <w:tc>
          <w:tcPr>
            <w:tcW w:type="dxa" w:w="2337"/>
            <w:tcMar>
              <w:top w:type="dxa" w:w="60"/>
              <w:left w:type="dxa" w:w="100"/>
              <w:bottom w:type="dxa" w:w="60"/>
              <w:right w:type="dxa" w:w="100"/>
            </w:tcMar>
          </w:tcPr>
          <w:p>
            <w:r>
              <w:rPr>
                <w:sz w:val="21"/>
                <w:szCs w:val="21"/>
              </w:rPr>
              <w:t xml:space="preserve">Injection SQL dans le titre d'une annonce</w:t>
            </w:r>
          </w:p>
        </w:tc>
        <w:tc>
          <w:tcPr>
            <w:tcW w:type="dxa" w:w="2337"/>
            <w:tcMar>
              <w:top w:type="dxa" w:w="60"/>
              <w:left w:type="dxa" w:w="100"/>
              <w:bottom w:type="dxa" w:w="60"/>
              <w:right w:type="dxa" w:w="100"/>
            </w:tcMar>
          </w:tcPr>
          <w:p>
            <w:r>
              <w:rPr>
                <w:sz w:val="21"/>
                <w:szCs w:val="21"/>
              </w:rPr>
              <w:t xml:space="preserve">Payload stocké tel quel, table intacte</w:t>
            </w:r>
          </w:p>
        </w:tc>
        <w:tc>
          <w:tcPr>
            <w:tcW w:type="dxa" w:w="2337"/>
            <w:tcMar>
              <w:top w:type="dxa" w:w="60"/>
              <w:left w:type="dxa" w:w="100"/>
              <w:bottom w:type="dxa" w:w="60"/>
              <w:right w:type="dxa" w:w="100"/>
            </w:tcMar>
          </w:tcPr>
          <w:p>
            <w:r>
              <w:rPr>
                <w:sz w:val="21"/>
                <w:szCs w:val="21"/>
              </w:rPr>
              <w:t xml:space="preserve">Réussi</w:t>
            </w:r>
          </w:p>
        </w:tc>
      </w:tr>
      <w:tr>
        <w:trPr>
          <w:tblHeader w:val="false"/>
        </w:trPr>
        <w:tc>
          <w:tcPr>
            <w:tcW w:type="dxa" w:w="2337"/>
            <w:tcMar>
              <w:top w:type="dxa" w:w="60"/>
              <w:left w:type="dxa" w:w="100"/>
              <w:bottom w:type="dxa" w:w="60"/>
              <w:right w:type="dxa" w:w="100"/>
            </w:tcMar>
          </w:tcPr>
          <w:p>
            <w:r>
              <w:rPr>
                <w:sz w:val="21"/>
                <w:szCs w:val="21"/>
              </w:rPr>
              <w:t xml:space="preserve">TS-02</w:t>
            </w:r>
          </w:p>
        </w:tc>
        <w:tc>
          <w:tcPr>
            <w:tcW w:type="dxa" w:w="2337"/>
            <w:tcMar>
              <w:top w:type="dxa" w:w="60"/>
              <w:left w:type="dxa" w:w="100"/>
              <w:bottom w:type="dxa" w:w="60"/>
              <w:right w:type="dxa" w:w="100"/>
            </w:tcMar>
          </w:tcPr>
          <w:p>
            <w:r>
              <w:rPr>
                <w:sz w:val="21"/>
                <w:szCs w:val="21"/>
              </w:rPr>
              <w:t xml:space="preserve">Accès à </w:t>
            </w:r>
            <w:r>
              <w:rPr>
                <w:rFonts w:ascii="Consolas" w:cs="Consolas" w:eastAsia="Consolas" w:hAnsi="Consolas"/>
                <w:color w:val="1f2937"/>
                <w:sz w:val="19"/>
                <w:szCs w:val="19"/>
              </w:rPr>
              <w:t xml:space="preserve">/api/fichiers</w:t>
            </w:r>
            <w:r>
              <w:rPr>
                <w:sz w:val="21"/>
                <w:szCs w:val="21"/>
              </w:rPr>
              <w:t xml:space="preserve"> et </w:t>
            </w:r>
            <w:r>
              <w:rPr>
                <w:rFonts w:ascii="Consolas" w:cs="Consolas" w:eastAsia="Consolas" w:hAnsi="Consolas"/>
                <w:color w:val="1f2937"/>
                <w:sz w:val="19"/>
                <w:szCs w:val="19"/>
              </w:rPr>
              <w:t xml:space="preserve">/api/annonces</w:t>
            </w:r>
            <w:r>
              <w:rPr>
                <w:sz w:val="21"/>
                <w:szCs w:val="21"/>
              </w:rPr>
              <w:t xml:space="preserve"> (POST) sans token</w:t>
            </w:r>
          </w:p>
        </w:tc>
        <w:tc>
          <w:tcPr>
            <w:tcW w:type="dxa" w:w="2337"/>
            <w:tcMar>
              <w:top w:type="dxa" w:w="60"/>
              <w:left w:type="dxa" w:w="100"/>
              <w:bottom w:type="dxa" w:w="60"/>
              <w:right w:type="dxa" w:w="100"/>
            </w:tcMar>
          </w:tcPr>
          <w:p>
            <w:r>
              <w:rPr>
                <w:sz w:val="21"/>
                <w:szCs w:val="21"/>
              </w:rPr>
              <w:t xml:space="preserve">401</w:t>
            </w:r>
          </w:p>
        </w:tc>
        <w:tc>
          <w:tcPr>
            <w:tcW w:type="dxa" w:w="2337"/>
            <w:tcMar>
              <w:top w:type="dxa" w:w="60"/>
              <w:left w:type="dxa" w:w="100"/>
              <w:bottom w:type="dxa" w:w="60"/>
              <w:right w:type="dxa" w:w="100"/>
            </w:tcMar>
          </w:tcPr>
          <w:p>
            <w:r>
              <w:rPr>
                <w:sz w:val="21"/>
                <w:szCs w:val="21"/>
              </w:rPr>
              <w:t xml:space="preserve">Réussi</w:t>
            </w:r>
          </w:p>
        </w:tc>
      </w:tr>
      <w:tr>
        <w:trPr>
          <w:tblHeader w:val="false"/>
        </w:trPr>
        <w:tc>
          <w:tcPr>
            <w:tcW w:type="dxa" w:w="2337"/>
            <w:tcMar>
              <w:top w:type="dxa" w:w="60"/>
              <w:left w:type="dxa" w:w="100"/>
              <w:bottom w:type="dxa" w:w="60"/>
              <w:right w:type="dxa" w:w="100"/>
            </w:tcMar>
          </w:tcPr>
          <w:p>
            <w:r>
              <w:rPr>
                <w:sz w:val="21"/>
                <w:szCs w:val="21"/>
              </w:rPr>
              <w:t xml:space="preserve">TS-03</w:t>
            </w:r>
          </w:p>
        </w:tc>
        <w:tc>
          <w:tcPr>
            <w:tcW w:type="dxa" w:w="2337"/>
            <w:tcMar>
              <w:top w:type="dxa" w:w="60"/>
              <w:left w:type="dxa" w:w="100"/>
              <w:bottom w:type="dxa" w:w="60"/>
              <w:right w:type="dxa" w:w="100"/>
            </w:tcMar>
          </w:tcPr>
          <w:p>
            <w:r>
              <w:rPr>
                <w:sz w:val="21"/>
                <w:szCs w:val="21"/>
              </w:rPr>
              <w:t xml:space="preserve">Cookie de session falsifié (non signé)</w:t>
            </w:r>
          </w:p>
        </w:tc>
        <w:tc>
          <w:tcPr>
            <w:tcW w:type="dxa" w:w="2337"/>
            <w:tcMar>
              <w:top w:type="dxa" w:w="60"/>
              <w:left w:type="dxa" w:w="100"/>
              <w:bottom w:type="dxa" w:w="60"/>
              <w:right w:type="dxa" w:w="100"/>
            </w:tcMar>
          </w:tcPr>
          <w:p>
            <w:r>
              <w:rPr>
                <w:sz w:val="21"/>
                <w:szCs w:val="21"/>
              </w:rPr>
              <w:t xml:space="preserve">Traité comme non authentifié, 401</w:t>
            </w:r>
          </w:p>
        </w:tc>
        <w:tc>
          <w:tcPr>
            <w:tcW w:type="dxa" w:w="2337"/>
            <w:tcMar>
              <w:top w:type="dxa" w:w="60"/>
              <w:left w:type="dxa" w:w="100"/>
              <w:bottom w:type="dxa" w:w="60"/>
              <w:right w:type="dxa" w:w="100"/>
            </w:tcMar>
          </w:tcPr>
          <w:p>
            <w:r>
              <w:rPr>
                <w:sz w:val="21"/>
                <w:szCs w:val="21"/>
              </w:rPr>
              <w:t xml:space="preserve">Réussi</w:t>
            </w:r>
          </w:p>
        </w:tc>
      </w:tr>
      <w:tr>
        <w:trPr>
          <w:tblHeader w:val="false"/>
        </w:trPr>
        <w:tc>
          <w:tcPr>
            <w:tcW w:type="dxa" w:w="2337"/>
            <w:tcMar>
              <w:top w:type="dxa" w:w="60"/>
              <w:left w:type="dxa" w:w="100"/>
              <w:bottom w:type="dxa" w:w="60"/>
              <w:right w:type="dxa" w:w="100"/>
            </w:tcMar>
          </w:tcPr>
          <w:p>
            <w:r>
              <w:rPr>
                <w:sz w:val="21"/>
                <w:szCs w:val="21"/>
              </w:rPr>
              <w:t xml:space="preserve">TS-04</w:t>
            </w:r>
          </w:p>
        </w:tc>
        <w:tc>
          <w:tcPr>
            <w:tcW w:type="dxa" w:w="2337"/>
            <w:tcMar>
              <w:top w:type="dxa" w:w="60"/>
              <w:left w:type="dxa" w:w="100"/>
              <w:bottom w:type="dxa" w:w="60"/>
              <w:right w:type="dxa" w:w="100"/>
            </w:tcMar>
          </w:tcPr>
          <w:p>
            <w:r>
              <w:rPr>
                <w:sz w:val="21"/>
                <w:szCs w:val="21"/>
              </w:rPr>
              <w:t xml:space="preserve">Contenu </w:t>
            </w:r>
            <w:r>
              <w:rPr>
                <w:rFonts w:ascii="Consolas" w:cs="Consolas" w:eastAsia="Consolas" w:hAnsi="Consolas"/>
                <w:color w:val="1f2937"/>
                <w:sz w:val="19"/>
                <w:szCs w:val="19"/>
              </w:rPr>
              <w:t xml:space="preserve">&lt;script&gt;</w:t>
            </w:r>
            <w:r>
              <w:rPr>
                <w:sz w:val="21"/>
                <w:szCs w:val="21"/>
              </w:rPr>
              <w:t xml:space="preserve"> dans une annonce</w:t>
            </w:r>
          </w:p>
        </w:tc>
        <w:tc>
          <w:tcPr>
            <w:tcW w:type="dxa" w:w="2337"/>
            <w:tcMar>
              <w:top w:type="dxa" w:w="60"/>
              <w:left w:type="dxa" w:w="100"/>
              <w:bottom w:type="dxa" w:w="60"/>
              <w:right w:type="dxa" w:w="100"/>
            </w:tcMar>
          </w:tcPr>
          <w:p>
            <w:r>
              <w:rPr>
                <w:sz w:val="21"/>
                <w:szCs w:val="21"/>
              </w:rPr>
              <w:t xml:space="preserve">Échappé au rendu Jinja2, jamais exécutable</w:t>
            </w:r>
          </w:p>
        </w:tc>
        <w:tc>
          <w:tcPr>
            <w:tcW w:type="dxa" w:w="2337"/>
            <w:tcMar>
              <w:top w:type="dxa" w:w="60"/>
              <w:left w:type="dxa" w:w="100"/>
              <w:bottom w:type="dxa" w:w="60"/>
              <w:right w:type="dxa" w:w="100"/>
            </w:tcMar>
          </w:tcPr>
          <w:p>
            <w:r>
              <w:rPr>
                <w:sz w:val="21"/>
                <w:szCs w:val="21"/>
              </w:rPr>
              <w:t xml:space="preserve">Réussi</w:t>
            </w:r>
          </w:p>
        </w:tc>
      </w:tr>
      <w:tr>
        <w:trPr>
          <w:tblHeader w:val="false"/>
        </w:trPr>
        <w:tc>
          <w:tcPr>
            <w:tcW w:type="dxa" w:w="2337"/>
            <w:tcMar>
              <w:top w:type="dxa" w:w="60"/>
              <w:left w:type="dxa" w:w="100"/>
              <w:bottom w:type="dxa" w:w="60"/>
              <w:right w:type="dxa" w:w="100"/>
            </w:tcMar>
          </w:tcPr>
          <w:p>
            <w:r>
              <w:rPr>
                <w:sz w:val="21"/>
                <w:szCs w:val="21"/>
              </w:rPr>
              <w:t xml:space="preserve">TS-05</w:t>
            </w:r>
          </w:p>
        </w:tc>
        <w:tc>
          <w:tcPr>
            <w:tcW w:type="dxa" w:w="2337"/>
            <w:tcMar>
              <w:top w:type="dxa" w:w="60"/>
              <w:left w:type="dxa" w:w="100"/>
              <w:bottom w:type="dxa" w:w="60"/>
              <w:right w:type="dxa" w:w="100"/>
            </w:tcMar>
          </w:tcPr>
          <w:p>
            <w:r>
              <w:rPr>
                <w:sz w:val="21"/>
                <w:szCs w:val="21"/>
              </w:rPr>
              <w:t xml:space="preserve">Téléchargement d'un fichier appartenant à un autre utilisateur</w:t>
            </w:r>
          </w:p>
        </w:tc>
        <w:tc>
          <w:tcPr>
            <w:tcW w:type="dxa" w:w="2337"/>
            <w:tcMar>
              <w:top w:type="dxa" w:w="60"/>
              <w:left w:type="dxa" w:w="100"/>
              <w:bottom w:type="dxa" w:w="60"/>
              <w:right w:type="dxa" w:w="100"/>
            </w:tcMar>
          </w:tcPr>
          <w:p>
            <w:r>
              <w:rPr>
                <w:sz w:val="21"/>
                <w:szCs w:val="21"/>
              </w:rPr>
              <w:t xml:space="preserve">403 (sauf admin)</w:t>
            </w:r>
          </w:p>
        </w:tc>
        <w:tc>
          <w:tcPr>
            <w:tcW w:type="dxa" w:w="2337"/>
            <w:tcMar>
              <w:top w:type="dxa" w:w="60"/>
              <w:left w:type="dxa" w:w="100"/>
              <w:bottom w:type="dxa" w:w="60"/>
              <w:right w:type="dxa" w:w="100"/>
            </w:tcMar>
          </w:tcPr>
          <w:p>
            <w:r>
              <w:rPr>
                <w:sz w:val="21"/>
                <w:szCs w:val="21"/>
              </w:rPr>
              <w:t xml:space="preserve">Réussi</w:t>
            </w:r>
          </w:p>
        </w:tc>
      </w:tr>
      <w:tr>
        <w:trPr>
          <w:tblHeader w:val="false"/>
        </w:trPr>
        <w:tc>
          <w:tcPr>
            <w:tcW w:type="dxa" w:w="2337"/>
            <w:tcMar>
              <w:top w:type="dxa" w:w="60"/>
              <w:left w:type="dxa" w:w="100"/>
              <w:bottom w:type="dxa" w:w="60"/>
              <w:right w:type="dxa" w:w="100"/>
            </w:tcMar>
          </w:tcPr>
          <w:p>
            <w:r>
              <w:rPr>
                <w:sz w:val="21"/>
                <w:szCs w:val="21"/>
              </w:rPr>
              <w:t xml:space="preserve">TS-06</w:t>
            </w:r>
          </w:p>
        </w:tc>
        <w:tc>
          <w:tcPr>
            <w:tcW w:type="dxa" w:w="2337"/>
            <w:tcMar>
              <w:top w:type="dxa" w:w="60"/>
              <w:left w:type="dxa" w:w="100"/>
              <w:bottom w:type="dxa" w:w="60"/>
              <w:right w:type="dxa" w:w="100"/>
            </w:tcMar>
          </w:tcPr>
          <w:p>
            <w:r>
              <w:rPr>
                <w:sz w:val="21"/>
                <w:szCs w:val="21"/>
              </w:rPr>
              <w:t xml:space="preserve">Exposition de ports internes dans </w:t>
            </w:r>
            <w:r>
              <w:rPr>
                <w:rFonts w:ascii="Consolas" w:cs="Consolas" w:eastAsia="Consolas" w:hAnsi="Consolas"/>
                <w:color w:val="1f2937"/>
                <w:sz w:val="19"/>
                <w:szCs w:val="19"/>
              </w:rPr>
              <w:t xml:space="preserve">docker-compose.yml</w:t>
            </w:r>
          </w:p>
        </w:tc>
        <w:tc>
          <w:tcPr>
            <w:tcW w:type="dxa" w:w="2337"/>
            <w:tcMar>
              <w:top w:type="dxa" w:w="60"/>
              <w:left w:type="dxa" w:w="100"/>
              <w:bottom w:type="dxa" w:w="60"/>
              <w:right w:type="dxa" w:w="100"/>
            </w:tcMar>
          </w:tcPr>
          <w:p>
            <w:r>
              <w:rPr>
                <w:sz w:val="21"/>
                <w:szCs w:val="21"/>
              </w:rPr>
              <w:t xml:space="preserve">Seul </w:t>
            </w:r>
            <w:r>
              <w:rPr>
                <w:rFonts w:ascii="Consolas" w:cs="Consolas" w:eastAsia="Consolas" w:hAnsi="Consolas"/>
                <w:color w:val="1f2937"/>
                <w:sz w:val="19"/>
                <w:szCs w:val="19"/>
              </w:rPr>
              <w:t xml:space="preserve">caddy</w:t>
            </w:r>
            <w:r>
              <w:rPr>
                <w:sz w:val="21"/>
                <w:szCs w:val="21"/>
              </w:rPr>
              <w:t xml:space="preserve"> expose des ports</w:t>
            </w:r>
          </w:p>
        </w:tc>
        <w:tc>
          <w:tcPr>
            <w:tcW w:type="dxa" w:w="2337"/>
            <w:tcMar>
              <w:top w:type="dxa" w:w="60"/>
              <w:left w:type="dxa" w:w="100"/>
              <w:bottom w:type="dxa" w:w="60"/>
              <w:right w:type="dxa" w:w="100"/>
            </w:tcMar>
          </w:tcPr>
          <w:p>
            <w:r>
              <w:rPr>
                <w:sz w:val="21"/>
                <w:szCs w:val="21"/>
              </w:rPr>
              <w:t xml:space="preserve">Réussi</w:t>
            </w:r>
          </w:p>
        </w:tc>
      </w:tr>
    </w:tbl>
    <w:p>
      <w:pPr>
        <w:spacing w:after="160"/>
      </w:pPr>
    </w:p>
    <w:p>
      <w:pPr>
        <w:pStyle w:val="Heading2"/>
        <w:spacing w:after="140" w:before="300"/>
      </w:pPr>
      <w:r>
        <w:t xml:space="preserve">Tests fonctionnels (TF) — scénarios de bout en bout (procédure manuelle)</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3116"/>
        <w:gridCol w:w="3116"/>
        <w:gridCol w:w="3116"/>
      </w:tblGrid>
      <w:tr>
        <w:trPr>
          <w:tblHeader/>
        </w:trPr>
        <w:tc>
          <w:tcPr>
            <w:tcW w:type="dxa" w:w="3116"/>
            <w:shd w:fill="1f2937" w:color="auto" w:val="clear"/>
            <w:tcMar>
              <w:top w:type="dxa" w:w="60"/>
              <w:left w:type="dxa" w:w="100"/>
              <w:bottom w:type="dxa" w:w="60"/>
              <w:right w:type="dxa" w:w="100"/>
            </w:tcMar>
          </w:tcPr>
          <w:p>
            <w:r>
              <w:rPr>
                <w:b/>
                <w:bCs/>
                <w:color w:val="FFFFFF"/>
                <w:sz w:val="19"/>
                <w:szCs w:val="19"/>
              </w:rPr>
              <w:t xml:space="preserve">ID</w:t>
            </w:r>
          </w:p>
        </w:tc>
        <w:tc>
          <w:tcPr>
            <w:tcW w:type="dxa" w:w="3116"/>
            <w:shd w:fill="1f2937" w:color="auto" w:val="clear"/>
            <w:tcMar>
              <w:top w:type="dxa" w:w="60"/>
              <w:left w:type="dxa" w:w="100"/>
              <w:bottom w:type="dxa" w:w="60"/>
              <w:right w:type="dxa" w:w="100"/>
            </w:tcMar>
          </w:tcPr>
          <w:p>
            <w:r>
              <w:rPr>
                <w:b/>
                <w:bCs/>
                <w:color w:val="FFFFFF"/>
                <w:sz w:val="19"/>
                <w:szCs w:val="19"/>
              </w:rPr>
              <w:t xml:space="preserve">Scénario</w:t>
            </w:r>
          </w:p>
        </w:tc>
        <w:tc>
          <w:tcPr>
            <w:tcW w:type="dxa" w:w="3116"/>
            <w:shd w:fill="1f2937" w:color="auto" w:val="clear"/>
            <w:tcMar>
              <w:top w:type="dxa" w:w="60"/>
              <w:left w:type="dxa" w:w="100"/>
              <w:bottom w:type="dxa" w:w="60"/>
              <w:right w:type="dxa" w:w="100"/>
            </w:tcMar>
          </w:tcPr>
          <w:p>
            <w:r>
              <w:rPr>
                <w:b/>
                <w:bCs/>
                <w:color w:val="FFFFFF"/>
                <w:sz w:val="19"/>
                <w:szCs w:val="19"/>
              </w:rPr>
              <w:t xml:space="preserve">Procédure</w:t>
            </w:r>
          </w:p>
        </w:tc>
      </w:tr>
      <w:tr>
        <w:trPr>
          <w:tblHeader w:val="false"/>
        </w:trPr>
        <w:tc>
          <w:tcPr>
            <w:tcW w:type="dxa" w:w="3116"/>
            <w:tcMar>
              <w:top w:type="dxa" w:w="60"/>
              <w:left w:type="dxa" w:w="100"/>
              <w:bottom w:type="dxa" w:w="60"/>
              <w:right w:type="dxa" w:w="100"/>
            </w:tcMar>
          </w:tcPr>
          <w:p>
            <w:r>
              <w:rPr>
                <w:sz w:val="21"/>
                <w:szCs w:val="21"/>
              </w:rPr>
              <w:t xml:space="preserve">TF-01</w:t>
            </w:r>
          </w:p>
        </w:tc>
        <w:tc>
          <w:tcPr>
            <w:tcW w:type="dxa" w:w="3116"/>
            <w:tcMar>
              <w:top w:type="dxa" w:w="60"/>
              <w:left w:type="dxa" w:w="100"/>
              <w:bottom w:type="dxa" w:w="60"/>
              <w:right w:type="dxa" w:w="100"/>
            </w:tcMar>
          </w:tcPr>
          <w:p>
            <w:r>
              <w:rPr>
                <w:sz w:val="21"/>
                <w:szCs w:val="21"/>
              </w:rPr>
              <w:t xml:space="preserve">Connexion complète SSO</w:t>
            </w:r>
          </w:p>
        </w:tc>
        <w:tc>
          <w:tcPr>
            <w:tcW w:type="dxa" w:w="3116"/>
            <w:tcMar>
              <w:top w:type="dxa" w:w="60"/>
              <w:left w:type="dxa" w:w="100"/>
              <w:bottom w:type="dxa" w:w="60"/>
              <w:right w:type="dxa" w:w="100"/>
            </w:tcMar>
          </w:tcPr>
          <w:p>
            <w:r>
              <w:rPr>
                <w:sz w:val="21"/>
                <w:szCs w:val="21"/>
              </w:rPr>
              <w:t xml:space="preserve">Ouvrir </w:t>
            </w:r>
            <w:r>
              <w:rPr>
                <w:rFonts w:ascii="Consolas" w:cs="Consolas" w:eastAsia="Consolas" w:hAnsi="Consolas"/>
                <w:color w:val="1f2937"/>
                <w:sz w:val="19"/>
                <w:szCs w:val="19"/>
              </w:rPr>
              <w:t xml:space="preserve">/</w:t>
            </w:r>
            <w:r>
              <w:rPr>
                <w:sz w:val="21"/>
                <w:szCs w:val="21"/>
              </w:rPr>
              <w:t xml:space="preserve">, être redirigé vers Keycloak, se connecter, revenir authentifié</w:t>
            </w:r>
          </w:p>
        </w:tc>
      </w:tr>
      <w:tr>
        <w:trPr>
          <w:tblHeader w:val="false"/>
        </w:trPr>
        <w:tc>
          <w:tcPr>
            <w:tcW w:type="dxa" w:w="3116"/>
            <w:tcMar>
              <w:top w:type="dxa" w:w="60"/>
              <w:left w:type="dxa" w:w="100"/>
              <w:bottom w:type="dxa" w:w="60"/>
              <w:right w:type="dxa" w:w="100"/>
            </w:tcMar>
          </w:tcPr>
          <w:p>
            <w:r>
              <w:rPr>
                <w:sz w:val="21"/>
                <w:szCs w:val="21"/>
              </w:rPr>
              <w:t xml:space="preserve">TF-02</w:t>
            </w:r>
          </w:p>
        </w:tc>
        <w:tc>
          <w:tcPr>
            <w:tcW w:type="dxa" w:w="3116"/>
            <w:tcMar>
              <w:top w:type="dxa" w:w="60"/>
              <w:left w:type="dxa" w:w="100"/>
              <w:bottom w:type="dxa" w:w="60"/>
              <w:right w:type="dxa" w:w="100"/>
            </w:tcMar>
          </w:tcPr>
          <w:p>
            <w:r>
              <w:rPr>
                <w:sz w:val="21"/>
                <w:szCs w:val="21"/>
              </w:rPr>
              <w:t xml:space="preserve">Cycle de vie d'une annonce</w:t>
            </w:r>
          </w:p>
        </w:tc>
        <w:tc>
          <w:tcPr>
            <w:tcW w:type="dxa" w:w="3116"/>
            <w:tcMar>
              <w:top w:type="dxa" w:w="60"/>
              <w:left w:type="dxa" w:w="100"/>
              <w:bottom w:type="dxa" w:w="60"/>
              <w:right w:type="dxa" w:w="100"/>
            </w:tcMar>
          </w:tcPr>
          <w:p>
            <w:r>
              <w:rPr>
                <w:sz w:val="21"/>
                <w:szCs w:val="21"/>
              </w:rPr>
              <w:t xml:space="preserve">Admin crée, modifie, épingle, supprime une annonce ; vérifier l'affichage pour un standard</w:t>
            </w:r>
          </w:p>
        </w:tc>
      </w:tr>
      <w:tr>
        <w:trPr>
          <w:tblHeader w:val="false"/>
        </w:trPr>
        <w:tc>
          <w:tcPr>
            <w:tcW w:type="dxa" w:w="3116"/>
            <w:tcMar>
              <w:top w:type="dxa" w:w="60"/>
              <w:left w:type="dxa" w:w="100"/>
              <w:bottom w:type="dxa" w:w="60"/>
              <w:right w:type="dxa" w:w="100"/>
            </w:tcMar>
          </w:tcPr>
          <w:p>
            <w:r>
              <w:rPr>
                <w:sz w:val="21"/>
                <w:szCs w:val="21"/>
              </w:rPr>
              <w:t xml:space="preserve">TF-03</w:t>
            </w:r>
          </w:p>
        </w:tc>
        <w:tc>
          <w:tcPr>
            <w:tcW w:type="dxa" w:w="3116"/>
            <w:tcMar>
              <w:top w:type="dxa" w:w="60"/>
              <w:left w:type="dxa" w:w="100"/>
              <w:bottom w:type="dxa" w:w="60"/>
              <w:right w:type="dxa" w:w="100"/>
            </w:tcMar>
          </w:tcPr>
          <w:p>
            <w:r>
              <w:rPr>
                <w:sz w:val="21"/>
                <w:szCs w:val="21"/>
              </w:rPr>
              <w:t xml:space="preserve">Cycle de vie d'un fichier</w:t>
            </w:r>
          </w:p>
        </w:tc>
        <w:tc>
          <w:tcPr>
            <w:tcW w:type="dxa" w:w="3116"/>
            <w:tcMar>
              <w:top w:type="dxa" w:w="60"/>
              <w:left w:type="dxa" w:w="100"/>
              <w:bottom w:type="dxa" w:w="60"/>
              <w:right w:type="dxa" w:w="100"/>
            </w:tcMar>
          </w:tcPr>
          <w:p>
            <w:r>
              <w:rPr>
                <w:sz w:val="21"/>
                <w:szCs w:val="21"/>
              </w:rPr>
              <w:t xml:space="preserve">Uploader un fichier valide, le télécharger, le supprimer ; tenter un type de fichier interdit</w:t>
            </w:r>
          </w:p>
        </w:tc>
      </w:tr>
      <w:tr>
        <w:trPr>
          <w:tblHeader w:val="false"/>
        </w:trPr>
        <w:tc>
          <w:tcPr>
            <w:tcW w:type="dxa" w:w="3116"/>
            <w:tcMar>
              <w:top w:type="dxa" w:w="60"/>
              <w:left w:type="dxa" w:w="100"/>
              <w:bottom w:type="dxa" w:w="60"/>
              <w:right w:type="dxa" w:w="100"/>
            </w:tcMar>
          </w:tcPr>
          <w:p>
            <w:r>
              <w:rPr>
                <w:sz w:val="21"/>
                <w:szCs w:val="21"/>
              </w:rPr>
              <w:t xml:space="preserve">TF-04</w:t>
            </w:r>
          </w:p>
        </w:tc>
        <w:tc>
          <w:tcPr>
            <w:tcW w:type="dxa" w:w="3116"/>
            <w:tcMar>
              <w:top w:type="dxa" w:w="60"/>
              <w:left w:type="dxa" w:w="100"/>
              <w:bottom w:type="dxa" w:w="60"/>
              <w:right w:type="dxa" w:w="100"/>
            </w:tcMar>
          </w:tcPr>
          <w:p>
            <w:r>
              <w:rPr>
                <w:sz w:val="21"/>
                <w:szCs w:val="21"/>
              </w:rPr>
              <w:t xml:space="preserve">Déconnexion</w:t>
            </w:r>
          </w:p>
        </w:tc>
        <w:tc>
          <w:tcPr>
            <w:tcW w:type="dxa" w:w="3116"/>
            <w:tcMar>
              <w:top w:type="dxa" w:w="60"/>
              <w:left w:type="dxa" w:w="100"/>
              <w:bottom w:type="dxa" w:w="60"/>
              <w:right w:type="dxa" w:w="100"/>
            </w:tcMar>
          </w:tcPr>
          <w:p>
            <w:r>
              <w:rPr>
                <w:sz w:val="21"/>
                <w:szCs w:val="21"/>
              </w:rPr>
              <w:t xml:space="preserve">Se déconnecter, vérifier l'invalidation de la session côté Keycloak (back-channel logout)</w:t>
            </w:r>
          </w:p>
        </w:tc>
      </w:tr>
    </w:tbl>
    <w:p>
      <w:pPr>
        <w:spacing w:after="160"/>
      </w:pPr>
    </w:p>
    <w:p>
      <w:pPr>
        <w:pStyle w:val="Heading2"/>
        <w:spacing w:after="140" w:before="300"/>
      </w:pPr>
      <w:r>
        <w:t xml:space="preserve">Grille de recette (15 critères)</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2337"/>
        <w:gridCol w:w="2337"/>
        <w:gridCol w:w="2337"/>
        <w:gridCol w:w="2337"/>
      </w:tblGrid>
      <w:tr>
        <w:trPr>
          <w:tblHeader/>
        </w:trPr>
        <w:tc>
          <w:tcPr>
            <w:tcW w:type="dxa" w:w="2337"/>
            <w:shd w:fill="1f2937" w:color="auto" w:val="clear"/>
            <w:tcMar>
              <w:top w:type="dxa" w:w="60"/>
              <w:left w:type="dxa" w:w="100"/>
              <w:bottom w:type="dxa" w:w="60"/>
              <w:right w:type="dxa" w:w="100"/>
            </w:tcMar>
          </w:tcPr>
          <w:p>
            <w:r>
              <w:rPr>
                <w:b/>
                <w:bCs/>
                <w:color w:val="FFFFFF"/>
                <w:sz w:val="19"/>
                <w:szCs w:val="19"/>
              </w:rPr>
              <w:t xml:space="preserve">#</w:t>
            </w:r>
          </w:p>
        </w:tc>
        <w:tc>
          <w:tcPr>
            <w:tcW w:type="dxa" w:w="2337"/>
            <w:shd w:fill="1f2937" w:color="auto" w:val="clear"/>
            <w:tcMar>
              <w:top w:type="dxa" w:w="60"/>
              <w:left w:type="dxa" w:w="100"/>
              <w:bottom w:type="dxa" w:w="60"/>
              <w:right w:type="dxa" w:w="100"/>
            </w:tcMar>
          </w:tcPr>
          <w:p>
            <w:r>
              <w:rPr>
                <w:b/>
                <w:bCs/>
                <w:color w:val="FFFFFF"/>
                <w:sz w:val="19"/>
                <w:szCs w:val="19"/>
              </w:rPr>
              <w:t xml:space="preserve">Critère</w:t>
            </w:r>
          </w:p>
        </w:tc>
        <w:tc>
          <w:tcPr>
            <w:tcW w:type="dxa" w:w="2337"/>
            <w:shd w:fill="1f2937" w:color="auto" w:val="clear"/>
            <w:tcMar>
              <w:top w:type="dxa" w:w="60"/>
              <w:left w:type="dxa" w:w="100"/>
              <w:bottom w:type="dxa" w:w="60"/>
              <w:right w:type="dxa" w:w="100"/>
            </w:tcMar>
          </w:tcPr>
          <w:p>
            <w:r>
              <w:rPr>
                <w:b/>
                <w:bCs/>
                <w:color w:val="FFFFFF"/>
                <w:sz w:val="19"/>
                <w:szCs w:val="19"/>
              </w:rPr>
              <w:t xml:space="preserve">OUI/NON</w:t>
            </w:r>
          </w:p>
        </w:tc>
        <w:tc>
          <w:tcPr>
            <w:tcW w:type="dxa" w:w="2337"/>
            <w:shd w:fill="1f2937" w:color="auto" w:val="clear"/>
            <w:tcMar>
              <w:top w:type="dxa" w:w="60"/>
              <w:left w:type="dxa" w:w="100"/>
              <w:bottom w:type="dxa" w:w="60"/>
              <w:right w:type="dxa" w:w="100"/>
            </w:tcMar>
          </w:tcPr>
          <w:p>
            <w:r>
              <w:rPr>
                <w:b/>
                <w:bCs/>
                <w:color w:val="FFFFFF"/>
                <w:sz w:val="19"/>
                <w:szCs w:val="19"/>
              </w:rPr>
              <w:t xml:space="preserve">Observations</w:t>
            </w:r>
          </w:p>
        </w:tc>
      </w:tr>
      <w:tr>
        <w:trPr>
          <w:tblHeader w:val="false"/>
        </w:trPr>
        <w:tc>
          <w:tcPr>
            <w:tcW w:type="dxa" w:w="2337"/>
            <w:tcMar>
              <w:top w:type="dxa" w:w="60"/>
              <w:left w:type="dxa" w:w="100"/>
              <w:bottom w:type="dxa" w:w="60"/>
              <w:right w:type="dxa" w:w="100"/>
            </w:tcMar>
          </w:tcPr>
          <w:p>
            <w:r>
              <w:rPr>
                <w:sz w:val="21"/>
                <w:szCs w:val="21"/>
              </w:rPr>
              <w:t xml:space="preserve">1</w:t>
            </w:r>
          </w:p>
        </w:tc>
        <w:tc>
          <w:tcPr>
            <w:tcW w:type="dxa" w:w="2337"/>
            <w:tcMar>
              <w:top w:type="dxa" w:w="60"/>
              <w:left w:type="dxa" w:w="100"/>
              <w:bottom w:type="dxa" w:w="60"/>
              <w:right w:type="dxa" w:w="100"/>
            </w:tcMar>
          </w:tcPr>
          <w:p>
            <w:r>
              <w:rPr>
                <w:sz w:val="21"/>
                <w:szCs w:val="21"/>
              </w:rPr>
              <w:t xml:space="preserve">Connexion SSO fonctionnelle</w:t>
            </w:r>
          </w:p>
        </w:tc>
        <w:tc>
          <w:tcPr>
            <w:tcW w:type="dxa" w:w="2337"/>
            <w:tcMar>
              <w:top w:type="dxa" w:w="60"/>
              <w:left w:type="dxa" w:w="100"/>
              <w:bottom w:type="dxa" w:w="60"/>
              <w:right w:type="dxa" w:w="100"/>
            </w:tcMar>
          </w:tcPr>
          <w:p>
            <w:r>
              <w:rPr>
                <w:sz w:val="21"/>
                <w:szCs w:val="21"/>
              </w:rPr>
              <w:t xml:space="preserve">OUI</w:t>
            </w:r>
          </w:p>
        </w:tc>
        <w:tc>
          <w:tcPr>
            <w:tcW w:type="dxa" w:w="2337"/>
            <w:tcMar>
              <w:top w:type="dxa" w:w="60"/>
              <w:left w:type="dxa" w:w="100"/>
              <w:bottom w:type="dxa" w:w="60"/>
              <w:right w:type="dxa" w:w="100"/>
            </w:tcMar>
          </w:tcPr>
          <w:p>
            <w:r>
              <w:rPr>
                <w:sz w:val="21"/>
                <w:szCs w:val="21"/>
              </w:rPr>
              <w:t xml:space="preserve">Flux testé manuellement en session 5 (13/05/2025)</w:t>
            </w:r>
          </w:p>
        </w:tc>
      </w:tr>
      <w:tr>
        <w:trPr>
          <w:tblHeader w:val="false"/>
        </w:trPr>
        <w:tc>
          <w:tcPr>
            <w:tcW w:type="dxa" w:w="2337"/>
            <w:tcMar>
              <w:top w:type="dxa" w:w="60"/>
              <w:left w:type="dxa" w:w="100"/>
              <w:bottom w:type="dxa" w:w="60"/>
              <w:right w:type="dxa" w:w="100"/>
            </w:tcMar>
          </w:tcPr>
          <w:p>
            <w:r>
              <w:rPr>
                <w:sz w:val="21"/>
                <w:szCs w:val="21"/>
              </w:rPr>
              <w:t xml:space="preserve">2</w:t>
            </w:r>
          </w:p>
        </w:tc>
        <w:tc>
          <w:tcPr>
            <w:tcW w:type="dxa" w:w="2337"/>
            <w:tcMar>
              <w:top w:type="dxa" w:w="60"/>
              <w:left w:type="dxa" w:w="100"/>
              <w:bottom w:type="dxa" w:w="60"/>
              <w:right w:type="dxa" w:w="100"/>
            </w:tcMar>
          </w:tcPr>
          <w:p>
            <w:r>
              <w:rPr>
                <w:sz w:val="21"/>
                <w:szCs w:val="21"/>
              </w:rPr>
              <w:t xml:space="preserve">Redirection non-authentifié → </w:t>
            </w:r>
            <w:r>
              <w:rPr>
                <w:rFonts w:ascii="Consolas" w:cs="Consolas" w:eastAsia="Consolas" w:hAnsi="Consolas"/>
                <w:color w:val="1f2937"/>
                <w:sz w:val="19"/>
                <w:szCs w:val="19"/>
              </w:rPr>
              <w:t xml:space="preserve">/login</w:t>
            </w:r>
          </w:p>
        </w:tc>
        <w:tc>
          <w:tcPr>
            <w:tcW w:type="dxa" w:w="2337"/>
            <w:tcMar>
              <w:top w:type="dxa" w:w="60"/>
              <w:left w:type="dxa" w:w="100"/>
              <w:bottom w:type="dxa" w:w="60"/>
              <w:right w:type="dxa" w:w="100"/>
            </w:tcMar>
          </w:tcPr>
          <w:p>
            <w:r>
              <w:rPr>
                <w:sz w:val="21"/>
                <w:szCs w:val="21"/>
              </w:rPr>
              <w:t xml:space="preserve">OUI</w:t>
            </w:r>
          </w:p>
        </w:tc>
        <w:tc>
          <w:tcPr>
            <w:tcW w:type="dxa" w:w="2337"/>
            <w:tcMar>
              <w:top w:type="dxa" w:w="60"/>
              <w:left w:type="dxa" w:w="100"/>
              <w:bottom w:type="dxa" w:w="60"/>
              <w:right w:type="dxa" w:w="100"/>
            </w:tcMar>
          </w:tcPr>
          <w:p>
            <w:r>
              <w:rPr>
                <w:sz w:val="21"/>
                <w:szCs w:val="21"/>
              </w:rPr>
              <w:t xml:space="preserve">IT-10</w:t>
            </w:r>
          </w:p>
        </w:tc>
      </w:tr>
      <w:tr>
        <w:trPr>
          <w:tblHeader w:val="false"/>
        </w:trPr>
        <w:tc>
          <w:tcPr>
            <w:tcW w:type="dxa" w:w="2337"/>
            <w:tcMar>
              <w:top w:type="dxa" w:w="60"/>
              <w:left w:type="dxa" w:w="100"/>
              <w:bottom w:type="dxa" w:w="60"/>
              <w:right w:type="dxa" w:w="100"/>
            </w:tcMar>
          </w:tcPr>
          <w:p>
            <w:r>
              <w:rPr>
                <w:sz w:val="21"/>
                <w:szCs w:val="21"/>
              </w:rPr>
              <w:t xml:space="preserve">3</w:t>
            </w:r>
          </w:p>
        </w:tc>
        <w:tc>
          <w:tcPr>
            <w:tcW w:type="dxa" w:w="2337"/>
            <w:tcMar>
              <w:top w:type="dxa" w:w="60"/>
              <w:left w:type="dxa" w:w="100"/>
              <w:bottom w:type="dxa" w:w="60"/>
              <w:right w:type="dxa" w:w="100"/>
            </w:tcMar>
          </w:tcPr>
          <w:p>
            <w:r>
              <w:rPr>
                <w:sz w:val="21"/>
                <w:szCs w:val="21"/>
              </w:rPr>
              <w:t xml:space="preserve">Contrôle des rôles admin/standard</w:t>
            </w:r>
          </w:p>
        </w:tc>
        <w:tc>
          <w:tcPr>
            <w:tcW w:type="dxa" w:w="2337"/>
            <w:tcMar>
              <w:top w:type="dxa" w:w="60"/>
              <w:left w:type="dxa" w:w="100"/>
              <w:bottom w:type="dxa" w:w="60"/>
              <w:right w:type="dxa" w:w="100"/>
            </w:tcMar>
          </w:tcPr>
          <w:p>
            <w:r>
              <w:rPr>
                <w:sz w:val="21"/>
                <w:szCs w:val="21"/>
              </w:rPr>
              <w:t xml:space="preserve">OUI</w:t>
            </w:r>
          </w:p>
        </w:tc>
        <w:tc>
          <w:tcPr>
            <w:tcW w:type="dxa" w:w="2337"/>
            <w:tcMar>
              <w:top w:type="dxa" w:w="60"/>
              <w:left w:type="dxa" w:w="100"/>
              <w:bottom w:type="dxa" w:w="60"/>
              <w:right w:type="dxa" w:w="100"/>
            </w:tcMar>
          </w:tcPr>
          <w:p>
            <w:r>
              <w:rPr>
                <w:sz w:val="21"/>
                <w:szCs w:val="21"/>
              </w:rPr>
              <w:t xml:space="preserve">IT-03, IT-07, TS-02</w:t>
            </w:r>
          </w:p>
        </w:tc>
      </w:tr>
      <w:tr>
        <w:trPr>
          <w:tblHeader w:val="false"/>
        </w:trPr>
        <w:tc>
          <w:tcPr>
            <w:tcW w:type="dxa" w:w="2337"/>
            <w:tcMar>
              <w:top w:type="dxa" w:w="60"/>
              <w:left w:type="dxa" w:w="100"/>
              <w:bottom w:type="dxa" w:w="60"/>
              <w:right w:type="dxa" w:w="100"/>
            </w:tcMar>
          </w:tcPr>
          <w:p>
            <w:r>
              <w:rPr>
                <w:sz w:val="21"/>
                <w:szCs w:val="21"/>
              </w:rPr>
              <w:t xml:space="preserve">4</w:t>
            </w:r>
          </w:p>
        </w:tc>
        <w:tc>
          <w:tcPr>
            <w:tcW w:type="dxa" w:w="2337"/>
            <w:tcMar>
              <w:top w:type="dxa" w:w="60"/>
              <w:left w:type="dxa" w:w="100"/>
              <w:bottom w:type="dxa" w:w="60"/>
              <w:right w:type="dxa" w:w="100"/>
            </w:tcMar>
          </w:tcPr>
          <w:p>
            <w:r>
              <w:rPr>
                <w:sz w:val="21"/>
                <w:szCs w:val="21"/>
              </w:rPr>
              <w:t xml:space="preserve">CRUD annonces complet</w:t>
            </w:r>
          </w:p>
        </w:tc>
        <w:tc>
          <w:tcPr>
            <w:tcW w:type="dxa" w:w="2337"/>
            <w:tcMar>
              <w:top w:type="dxa" w:w="60"/>
              <w:left w:type="dxa" w:w="100"/>
              <w:bottom w:type="dxa" w:w="60"/>
              <w:right w:type="dxa" w:w="100"/>
            </w:tcMar>
          </w:tcPr>
          <w:p>
            <w:r>
              <w:rPr>
                <w:sz w:val="21"/>
                <w:szCs w:val="21"/>
              </w:rPr>
              <w:t xml:space="preserve">OUI</w:t>
            </w:r>
          </w:p>
        </w:tc>
        <w:tc>
          <w:tcPr>
            <w:tcW w:type="dxa" w:w="2337"/>
            <w:tcMar>
              <w:top w:type="dxa" w:w="60"/>
              <w:left w:type="dxa" w:w="100"/>
              <w:bottom w:type="dxa" w:w="60"/>
              <w:right w:type="dxa" w:w="100"/>
            </w:tcMar>
          </w:tcPr>
          <w:p>
            <w:r>
              <w:rPr>
                <w:sz w:val="21"/>
                <w:szCs w:val="21"/>
              </w:rPr>
              <w:t xml:space="preserve">IT-04, IT-05, IT-06</w:t>
            </w:r>
          </w:p>
        </w:tc>
      </w:tr>
      <w:tr>
        <w:trPr>
          <w:tblHeader w:val="false"/>
        </w:trPr>
        <w:tc>
          <w:tcPr>
            <w:tcW w:type="dxa" w:w="2337"/>
            <w:tcMar>
              <w:top w:type="dxa" w:w="60"/>
              <w:left w:type="dxa" w:w="100"/>
              <w:bottom w:type="dxa" w:w="60"/>
              <w:right w:type="dxa" w:w="100"/>
            </w:tcMar>
          </w:tcPr>
          <w:p>
            <w:r>
              <w:rPr>
                <w:sz w:val="21"/>
                <w:szCs w:val="21"/>
              </w:rPr>
              <w:t xml:space="preserve">5</w:t>
            </w:r>
          </w:p>
        </w:tc>
        <w:tc>
          <w:tcPr>
            <w:tcW w:type="dxa" w:w="2337"/>
            <w:tcMar>
              <w:top w:type="dxa" w:w="60"/>
              <w:left w:type="dxa" w:w="100"/>
              <w:bottom w:type="dxa" w:w="60"/>
              <w:right w:type="dxa" w:w="100"/>
            </w:tcMar>
          </w:tcPr>
          <w:p>
            <w:r>
              <w:rPr>
                <w:sz w:val="21"/>
                <w:szCs w:val="21"/>
              </w:rPr>
              <w:t xml:space="preserve">Épinglage des annonces</w:t>
            </w:r>
          </w:p>
        </w:tc>
        <w:tc>
          <w:tcPr>
            <w:tcW w:type="dxa" w:w="2337"/>
            <w:tcMar>
              <w:top w:type="dxa" w:w="60"/>
              <w:left w:type="dxa" w:w="100"/>
              <w:bottom w:type="dxa" w:w="60"/>
              <w:right w:type="dxa" w:w="100"/>
            </w:tcMar>
          </w:tcPr>
          <w:p>
            <w:r>
              <w:rPr>
                <w:sz w:val="21"/>
                <w:szCs w:val="21"/>
              </w:rPr>
              <w:t xml:space="preserve">OUI</w:t>
            </w:r>
          </w:p>
        </w:tc>
        <w:tc>
          <w:tcPr>
            <w:tcW w:type="dxa" w:w="2337"/>
            <w:tcMar>
              <w:top w:type="dxa" w:w="60"/>
              <w:left w:type="dxa" w:w="100"/>
              <w:bottom w:type="dxa" w:w="60"/>
              <w:right w:type="dxa" w:w="100"/>
            </w:tcMar>
          </w:tcPr>
          <w:p>
            <w:r>
              <w:rPr>
                <w:sz w:val="21"/>
                <w:szCs w:val="21"/>
              </w:rPr>
              <w:t xml:space="preserve">Colonne </w:t>
            </w:r>
            <w:r>
              <w:rPr>
                <w:rFonts w:ascii="Consolas" w:cs="Consolas" w:eastAsia="Consolas" w:hAnsi="Consolas"/>
                <w:color w:val="1f2937"/>
                <w:sz w:val="19"/>
                <w:szCs w:val="19"/>
              </w:rPr>
              <w:t xml:space="preserve">epinglee</w:t>
            </w:r>
            <w:r>
              <w:rPr>
                <w:sz w:val="21"/>
                <w:szCs w:val="21"/>
              </w:rPr>
              <w:t xml:space="preserve">, tri en base</w:t>
            </w:r>
          </w:p>
        </w:tc>
      </w:tr>
      <w:tr>
        <w:trPr>
          <w:tblHeader w:val="false"/>
        </w:trPr>
        <w:tc>
          <w:tcPr>
            <w:tcW w:type="dxa" w:w="2337"/>
            <w:tcMar>
              <w:top w:type="dxa" w:w="60"/>
              <w:left w:type="dxa" w:w="100"/>
              <w:bottom w:type="dxa" w:w="60"/>
              <w:right w:type="dxa" w:w="100"/>
            </w:tcMar>
          </w:tcPr>
          <w:p>
            <w:r>
              <w:rPr>
                <w:sz w:val="21"/>
                <w:szCs w:val="21"/>
              </w:rPr>
              <w:t xml:space="preserve">6</w:t>
            </w:r>
          </w:p>
        </w:tc>
        <w:tc>
          <w:tcPr>
            <w:tcW w:type="dxa" w:w="2337"/>
            <w:tcMar>
              <w:top w:type="dxa" w:w="60"/>
              <w:left w:type="dxa" w:w="100"/>
              <w:bottom w:type="dxa" w:w="60"/>
              <w:right w:type="dxa" w:w="100"/>
            </w:tcMar>
          </w:tcPr>
          <w:p>
            <w:r>
              <w:rPr>
                <w:sz w:val="21"/>
                <w:szCs w:val="21"/>
              </w:rPr>
              <w:t xml:space="preserve">Upload de fichier avec validation</w:t>
            </w:r>
          </w:p>
        </w:tc>
        <w:tc>
          <w:tcPr>
            <w:tcW w:type="dxa" w:w="2337"/>
            <w:tcMar>
              <w:top w:type="dxa" w:w="60"/>
              <w:left w:type="dxa" w:w="100"/>
              <w:bottom w:type="dxa" w:w="60"/>
              <w:right w:type="dxa" w:w="100"/>
            </w:tcMar>
          </w:tcPr>
          <w:p>
            <w:r>
              <w:rPr>
                <w:sz w:val="21"/>
                <w:szCs w:val="21"/>
              </w:rPr>
              <w:t xml:space="preserve">OUI</w:t>
            </w:r>
          </w:p>
        </w:tc>
        <w:tc>
          <w:tcPr>
            <w:tcW w:type="dxa" w:w="2337"/>
            <w:tcMar>
              <w:top w:type="dxa" w:w="60"/>
              <w:left w:type="dxa" w:w="100"/>
              <w:bottom w:type="dxa" w:w="60"/>
              <w:right w:type="dxa" w:w="100"/>
            </w:tcMar>
          </w:tcPr>
          <w:p>
            <w:r>
              <w:rPr>
                <w:sz w:val="21"/>
                <w:szCs w:val="21"/>
              </w:rPr>
              <w:t xml:space="preserve">UT-06, UT-07, upload bout en bout</w:t>
            </w:r>
          </w:p>
        </w:tc>
      </w:tr>
      <w:tr>
        <w:trPr>
          <w:tblHeader w:val="false"/>
        </w:trPr>
        <w:tc>
          <w:tcPr>
            <w:tcW w:type="dxa" w:w="2337"/>
            <w:tcMar>
              <w:top w:type="dxa" w:w="60"/>
              <w:left w:type="dxa" w:w="100"/>
              <w:bottom w:type="dxa" w:w="60"/>
              <w:right w:type="dxa" w:w="100"/>
            </w:tcMar>
          </w:tcPr>
          <w:p>
            <w:r>
              <w:rPr>
                <w:sz w:val="21"/>
                <w:szCs w:val="21"/>
              </w:rPr>
              <w:t xml:space="preserve">7</w:t>
            </w:r>
          </w:p>
        </w:tc>
        <w:tc>
          <w:tcPr>
            <w:tcW w:type="dxa" w:w="2337"/>
            <w:tcMar>
              <w:top w:type="dxa" w:w="60"/>
              <w:left w:type="dxa" w:w="100"/>
              <w:bottom w:type="dxa" w:w="60"/>
              <w:right w:type="dxa" w:w="100"/>
            </w:tcMar>
          </w:tcPr>
          <w:p>
            <w:r>
              <w:rPr>
                <w:sz w:val="21"/>
                <w:szCs w:val="21"/>
              </w:rPr>
              <w:t xml:space="preserve">Téléchargement sécurisé</w:t>
            </w:r>
          </w:p>
        </w:tc>
        <w:tc>
          <w:tcPr>
            <w:tcW w:type="dxa" w:w="2337"/>
            <w:tcMar>
              <w:top w:type="dxa" w:w="60"/>
              <w:left w:type="dxa" w:w="100"/>
              <w:bottom w:type="dxa" w:w="60"/>
              <w:right w:type="dxa" w:w="100"/>
            </w:tcMar>
          </w:tcPr>
          <w:p>
            <w:r>
              <w:rPr>
                <w:sz w:val="21"/>
                <w:szCs w:val="21"/>
              </w:rPr>
              <w:t xml:space="preserve">OUI</w:t>
            </w:r>
          </w:p>
        </w:tc>
        <w:tc>
          <w:tcPr>
            <w:tcW w:type="dxa" w:w="2337"/>
            <w:tcMar>
              <w:top w:type="dxa" w:w="60"/>
              <w:left w:type="dxa" w:w="100"/>
              <w:bottom w:type="dxa" w:w="60"/>
              <w:right w:type="dxa" w:w="100"/>
            </w:tcMar>
          </w:tcPr>
          <w:p>
            <w:r>
              <w:rPr>
                <w:sz w:val="21"/>
                <w:szCs w:val="21"/>
              </w:rPr>
              <w:t xml:space="preserve">TS-05</w:t>
            </w:r>
          </w:p>
        </w:tc>
      </w:tr>
      <w:tr>
        <w:trPr>
          <w:tblHeader w:val="false"/>
        </w:trPr>
        <w:tc>
          <w:tcPr>
            <w:tcW w:type="dxa" w:w="2337"/>
            <w:tcMar>
              <w:top w:type="dxa" w:w="60"/>
              <w:left w:type="dxa" w:w="100"/>
              <w:bottom w:type="dxa" w:w="60"/>
              <w:right w:type="dxa" w:w="100"/>
            </w:tcMar>
          </w:tcPr>
          <w:p>
            <w:r>
              <w:rPr>
                <w:sz w:val="21"/>
                <w:szCs w:val="21"/>
              </w:rPr>
              <w:t xml:space="preserve">8</w:t>
            </w:r>
          </w:p>
        </w:tc>
        <w:tc>
          <w:tcPr>
            <w:tcW w:type="dxa" w:w="2337"/>
            <w:tcMar>
              <w:top w:type="dxa" w:w="60"/>
              <w:left w:type="dxa" w:w="100"/>
              <w:bottom w:type="dxa" w:w="60"/>
              <w:right w:type="dxa" w:w="100"/>
            </w:tcMar>
          </w:tcPr>
          <w:p>
            <w:r>
              <w:rPr>
                <w:sz w:val="21"/>
                <w:szCs w:val="21"/>
              </w:rPr>
              <w:t xml:space="preserve">Suppression de fichier contrôlée</w:t>
            </w:r>
          </w:p>
        </w:tc>
        <w:tc>
          <w:tcPr>
            <w:tcW w:type="dxa" w:w="2337"/>
            <w:tcMar>
              <w:top w:type="dxa" w:w="60"/>
              <w:left w:type="dxa" w:w="100"/>
              <w:bottom w:type="dxa" w:w="60"/>
              <w:right w:type="dxa" w:w="100"/>
            </w:tcMar>
          </w:tcPr>
          <w:p>
            <w:r>
              <w:rPr>
                <w:sz w:val="21"/>
                <w:szCs w:val="21"/>
              </w:rPr>
              <w:t xml:space="preserve">OUI</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fichier_service.delete_fichier</w:t>
            </w:r>
          </w:p>
        </w:tc>
      </w:tr>
      <w:tr>
        <w:trPr>
          <w:tblHeader w:val="false"/>
        </w:trPr>
        <w:tc>
          <w:tcPr>
            <w:tcW w:type="dxa" w:w="2337"/>
            <w:tcMar>
              <w:top w:type="dxa" w:w="60"/>
              <w:left w:type="dxa" w:w="100"/>
              <w:bottom w:type="dxa" w:w="60"/>
              <w:right w:type="dxa" w:w="100"/>
            </w:tcMar>
          </w:tcPr>
          <w:p>
            <w:r>
              <w:rPr>
                <w:sz w:val="21"/>
                <w:szCs w:val="21"/>
              </w:rPr>
              <w:t xml:space="preserve">9</w:t>
            </w:r>
          </w:p>
        </w:tc>
        <w:tc>
          <w:tcPr>
            <w:tcW w:type="dxa" w:w="2337"/>
            <w:tcMar>
              <w:top w:type="dxa" w:w="60"/>
              <w:left w:type="dxa" w:w="100"/>
              <w:bottom w:type="dxa" w:w="60"/>
              <w:right w:type="dxa" w:w="100"/>
            </w:tcMar>
          </w:tcPr>
          <w:p>
            <w:r>
              <w:rPr>
                <w:sz w:val="21"/>
                <w:szCs w:val="21"/>
              </w:rPr>
              <w:t xml:space="preserve">Création/suppression d'événements</w:t>
            </w:r>
          </w:p>
        </w:tc>
        <w:tc>
          <w:tcPr>
            <w:tcW w:type="dxa" w:w="2337"/>
            <w:tcMar>
              <w:top w:type="dxa" w:w="60"/>
              <w:left w:type="dxa" w:w="100"/>
              <w:bottom w:type="dxa" w:w="60"/>
              <w:right w:type="dxa" w:w="100"/>
            </w:tcMar>
          </w:tcPr>
          <w:p>
            <w:r>
              <w:rPr>
                <w:sz w:val="21"/>
                <w:szCs w:val="21"/>
              </w:rPr>
              <w:t xml:space="preserve">OUI</w:t>
            </w:r>
          </w:p>
        </w:tc>
        <w:tc>
          <w:tcPr>
            <w:tcW w:type="dxa" w:w="2337"/>
            <w:tcMar>
              <w:top w:type="dxa" w:w="60"/>
              <w:left w:type="dxa" w:w="100"/>
              <w:bottom w:type="dxa" w:w="60"/>
              <w:right w:type="dxa" w:w="100"/>
            </w:tcMar>
          </w:tcPr>
          <w:p>
            <w:r>
              <w:rPr>
                <w:sz w:val="21"/>
                <w:szCs w:val="21"/>
              </w:rPr>
              <w:t xml:space="preserve">IT-09</w:t>
            </w:r>
          </w:p>
        </w:tc>
      </w:tr>
      <w:tr>
        <w:trPr>
          <w:tblHeader w:val="false"/>
        </w:trPr>
        <w:tc>
          <w:tcPr>
            <w:tcW w:type="dxa" w:w="2337"/>
            <w:tcMar>
              <w:top w:type="dxa" w:w="60"/>
              <w:left w:type="dxa" w:w="100"/>
              <w:bottom w:type="dxa" w:w="60"/>
              <w:right w:type="dxa" w:w="100"/>
            </w:tcMar>
          </w:tcPr>
          <w:p>
            <w:r>
              <w:rPr>
                <w:sz w:val="21"/>
                <w:szCs w:val="21"/>
              </w:rPr>
              <w:t xml:space="preserve">10</w:t>
            </w:r>
          </w:p>
        </w:tc>
        <w:tc>
          <w:tcPr>
            <w:tcW w:type="dxa" w:w="2337"/>
            <w:tcMar>
              <w:top w:type="dxa" w:w="60"/>
              <w:left w:type="dxa" w:w="100"/>
              <w:bottom w:type="dxa" w:w="60"/>
              <w:right w:type="dxa" w:w="100"/>
            </w:tcMar>
          </w:tcPr>
          <w:p>
            <w:r>
              <w:rPr>
                <w:sz w:val="21"/>
                <w:szCs w:val="21"/>
              </w:rPr>
              <w:t xml:space="preserve">Widgets déplaçables et persistés</w:t>
            </w:r>
          </w:p>
        </w:tc>
        <w:tc>
          <w:tcPr>
            <w:tcW w:type="dxa" w:w="2337"/>
            <w:tcMar>
              <w:top w:type="dxa" w:w="60"/>
              <w:left w:type="dxa" w:w="100"/>
              <w:bottom w:type="dxa" w:w="60"/>
              <w:right w:type="dxa" w:w="100"/>
            </w:tcMar>
          </w:tcPr>
          <w:p>
            <w:r>
              <w:rPr>
                <w:sz w:val="21"/>
                <w:szCs w:val="21"/>
              </w:rPr>
              <w:t xml:space="preserve">OUI</w:t>
            </w:r>
          </w:p>
        </w:tc>
        <w:tc>
          <w:tcPr>
            <w:tcW w:type="dxa" w:w="2337"/>
            <w:tcMar>
              <w:top w:type="dxa" w:w="60"/>
              <w:left w:type="dxa" w:w="100"/>
              <w:bottom w:type="dxa" w:w="60"/>
              <w:right w:type="dxa" w:w="100"/>
            </w:tcMar>
          </w:tcPr>
          <w:p>
            <w:r>
              <w:rPr>
                <w:rFonts w:ascii="Consolas" w:cs="Consolas" w:eastAsia="Consolas" w:hAnsi="Consolas"/>
                <w:color w:val="1f2937"/>
                <w:sz w:val="19"/>
                <w:szCs w:val="19"/>
              </w:rPr>
              <w:t xml:space="preserve">services/block_service.py</w:t>
            </w:r>
            <w:r>
              <w:rPr>
                <w:sz w:val="21"/>
                <w:szCs w:val="21"/>
              </w:rPr>
              <w:t xml:space="preserve">, capture d'écran</w:t>
            </w:r>
          </w:p>
        </w:tc>
      </w:tr>
      <w:tr>
        <w:trPr>
          <w:tblHeader w:val="false"/>
        </w:trPr>
        <w:tc>
          <w:tcPr>
            <w:tcW w:type="dxa" w:w="2337"/>
            <w:tcMar>
              <w:top w:type="dxa" w:w="60"/>
              <w:left w:type="dxa" w:w="100"/>
              <w:bottom w:type="dxa" w:w="60"/>
              <w:right w:type="dxa" w:w="100"/>
            </w:tcMar>
          </w:tcPr>
          <w:p>
            <w:r>
              <w:rPr>
                <w:sz w:val="21"/>
                <w:szCs w:val="21"/>
              </w:rPr>
              <w:t xml:space="preserve">11</w:t>
            </w:r>
          </w:p>
        </w:tc>
        <w:tc>
          <w:tcPr>
            <w:tcW w:type="dxa" w:w="2337"/>
            <w:tcMar>
              <w:top w:type="dxa" w:w="60"/>
              <w:left w:type="dxa" w:w="100"/>
              <w:bottom w:type="dxa" w:w="60"/>
              <w:right w:type="dxa" w:w="100"/>
            </w:tcMar>
          </w:tcPr>
          <w:p>
            <w:r>
              <w:rPr>
                <w:sz w:val="21"/>
                <w:szCs w:val="21"/>
              </w:rPr>
              <w:t xml:space="preserve">HTTPS opérationnel</w:t>
            </w:r>
          </w:p>
        </w:tc>
        <w:tc>
          <w:tcPr>
            <w:tcW w:type="dxa" w:w="2337"/>
            <w:tcMar>
              <w:top w:type="dxa" w:w="60"/>
              <w:left w:type="dxa" w:w="100"/>
              <w:bottom w:type="dxa" w:w="60"/>
              <w:right w:type="dxa" w:w="100"/>
            </w:tcMar>
          </w:tcPr>
          <w:p>
            <w:r>
              <w:rPr>
                <w:sz w:val="21"/>
                <w:szCs w:val="21"/>
              </w:rPr>
              <w:t xml:space="preserve">Projection</w:t>
            </w:r>
          </w:p>
        </w:tc>
        <w:tc>
          <w:tcPr>
            <w:tcW w:type="dxa" w:w="2337"/>
            <w:tcMar>
              <w:top w:type="dxa" w:w="60"/>
              <w:left w:type="dxa" w:w="100"/>
              <w:bottom w:type="dxa" w:w="60"/>
              <w:right w:type="dxa" w:w="100"/>
            </w:tcMar>
          </w:tcPr>
          <w:p>
            <w:r>
              <w:rPr>
                <w:sz w:val="21"/>
                <w:szCs w:val="21"/>
              </w:rPr>
              <w:t xml:space="preserve">Nécessite le domaine réel en production (non vérifiable en local)</w:t>
            </w:r>
          </w:p>
        </w:tc>
      </w:tr>
      <w:tr>
        <w:trPr>
          <w:tblHeader w:val="false"/>
        </w:trPr>
        <w:tc>
          <w:tcPr>
            <w:tcW w:type="dxa" w:w="2337"/>
            <w:tcMar>
              <w:top w:type="dxa" w:w="60"/>
              <w:left w:type="dxa" w:w="100"/>
              <w:bottom w:type="dxa" w:w="60"/>
              <w:right w:type="dxa" w:w="100"/>
            </w:tcMar>
          </w:tcPr>
          <w:p>
            <w:r>
              <w:rPr>
                <w:sz w:val="21"/>
                <w:szCs w:val="21"/>
              </w:rPr>
              <w:t xml:space="preserve">12</w:t>
            </w:r>
          </w:p>
        </w:tc>
        <w:tc>
          <w:tcPr>
            <w:tcW w:type="dxa" w:w="2337"/>
            <w:tcMar>
              <w:top w:type="dxa" w:w="60"/>
              <w:left w:type="dxa" w:w="100"/>
              <w:bottom w:type="dxa" w:w="60"/>
              <w:right w:type="dxa" w:w="100"/>
            </w:tcMar>
          </w:tcPr>
          <w:p>
            <w:r>
              <w:rPr>
                <w:sz w:val="21"/>
                <w:szCs w:val="21"/>
              </w:rPr>
              <w:t xml:space="preserve">Persistance des données après redémarrage</w:t>
            </w:r>
          </w:p>
        </w:tc>
        <w:tc>
          <w:tcPr>
            <w:tcW w:type="dxa" w:w="2337"/>
            <w:tcMar>
              <w:top w:type="dxa" w:w="60"/>
              <w:left w:type="dxa" w:w="100"/>
              <w:bottom w:type="dxa" w:w="60"/>
              <w:right w:type="dxa" w:w="100"/>
            </w:tcMar>
          </w:tcPr>
          <w:p>
            <w:r>
              <w:rPr>
                <w:sz w:val="21"/>
                <w:szCs w:val="21"/>
              </w:rPr>
              <w:t xml:space="preserve">Projection</w:t>
            </w:r>
          </w:p>
        </w:tc>
        <w:tc>
          <w:tcPr>
            <w:tcW w:type="dxa" w:w="2337"/>
            <w:tcMar>
              <w:top w:type="dxa" w:w="60"/>
              <w:left w:type="dxa" w:w="100"/>
              <w:bottom w:type="dxa" w:w="60"/>
              <w:right w:type="dxa" w:w="100"/>
            </w:tcMar>
          </w:tcPr>
          <w:p>
            <w:r>
              <w:rPr>
                <w:sz w:val="21"/>
                <w:szCs w:val="21"/>
              </w:rPr>
              <w:t xml:space="preserve">Vérifiable via TD-05 en environnement réel</w:t>
            </w:r>
          </w:p>
        </w:tc>
      </w:tr>
      <w:tr>
        <w:trPr>
          <w:tblHeader w:val="false"/>
        </w:trPr>
        <w:tc>
          <w:tcPr>
            <w:tcW w:type="dxa" w:w="2337"/>
            <w:tcMar>
              <w:top w:type="dxa" w:w="60"/>
              <w:left w:type="dxa" w:w="100"/>
              <w:bottom w:type="dxa" w:w="60"/>
              <w:right w:type="dxa" w:w="100"/>
            </w:tcMar>
          </w:tcPr>
          <w:p>
            <w:r>
              <w:rPr>
                <w:sz w:val="21"/>
                <w:szCs w:val="21"/>
              </w:rPr>
              <w:t xml:space="preserve">13</w:t>
            </w:r>
          </w:p>
        </w:tc>
        <w:tc>
          <w:tcPr>
            <w:tcW w:type="dxa" w:w="2337"/>
            <w:tcMar>
              <w:top w:type="dxa" w:w="60"/>
              <w:left w:type="dxa" w:w="100"/>
              <w:bottom w:type="dxa" w:w="60"/>
              <w:right w:type="dxa" w:w="100"/>
            </w:tcMar>
          </w:tcPr>
          <w:p>
            <w:r>
              <w:rPr>
                <w:sz w:val="21"/>
                <w:szCs w:val="21"/>
              </w:rPr>
              <w:t xml:space="preserve">Déploiement reproductible (</w:t>
            </w:r>
            <w:r>
              <w:rPr>
                <w:rFonts w:ascii="Consolas" w:cs="Consolas" w:eastAsia="Consolas" w:hAnsi="Consolas"/>
                <w:color w:val="1f2937"/>
                <w:sz w:val="19"/>
                <w:szCs w:val="19"/>
              </w:rPr>
              <w:t xml:space="preserve">docker compose up -d</w:t>
            </w:r>
            <w:r>
              <w:rPr>
                <w:sz w:val="21"/>
                <w:szCs w:val="21"/>
              </w:rPr>
              <w:t xml:space="preserve">)</w:t>
            </w:r>
          </w:p>
        </w:tc>
        <w:tc>
          <w:tcPr>
            <w:tcW w:type="dxa" w:w="2337"/>
            <w:tcMar>
              <w:top w:type="dxa" w:w="60"/>
              <w:left w:type="dxa" w:w="100"/>
              <w:bottom w:type="dxa" w:w="60"/>
              <w:right w:type="dxa" w:w="100"/>
            </w:tcMar>
          </w:tcPr>
          <w:p>
            <w:r>
              <w:rPr>
                <w:sz w:val="21"/>
                <w:szCs w:val="21"/>
              </w:rPr>
              <w:t xml:space="preserve">OUI</w:t>
            </w:r>
          </w:p>
        </w:tc>
        <w:tc>
          <w:tcPr>
            <w:tcW w:type="dxa" w:w="2337"/>
            <w:tcMar>
              <w:top w:type="dxa" w:w="60"/>
              <w:left w:type="dxa" w:w="100"/>
              <w:bottom w:type="dxa" w:w="60"/>
              <w:right w:type="dxa" w:w="100"/>
            </w:tcMar>
          </w:tcPr>
          <w:p>
            <w:r>
              <w:rPr>
                <w:sz w:val="21"/>
                <w:szCs w:val="21"/>
              </w:rPr>
              <w:t xml:space="preserve">Partie 3</w:t>
            </w:r>
          </w:p>
        </w:tc>
      </w:tr>
      <w:tr>
        <w:trPr>
          <w:tblHeader w:val="false"/>
        </w:trPr>
        <w:tc>
          <w:tcPr>
            <w:tcW w:type="dxa" w:w="2337"/>
            <w:tcMar>
              <w:top w:type="dxa" w:w="60"/>
              <w:left w:type="dxa" w:w="100"/>
              <w:bottom w:type="dxa" w:w="60"/>
              <w:right w:type="dxa" w:w="100"/>
            </w:tcMar>
          </w:tcPr>
          <w:p>
            <w:r>
              <w:rPr>
                <w:sz w:val="21"/>
                <w:szCs w:val="21"/>
              </w:rPr>
              <w:t xml:space="preserve">14</w:t>
            </w:r>
          </w:p>
        </w:tc>
        <w:tc>
          <w:tcPr>
            <w:tcW w:type="dxa" w:w="2337"/>
            <w:tcMar>
              <w:top w:type="dxa" w:w="60"/>
              <w:left w:type="dxa" w:w="100"/>
              <w:bottom w:type="dxa" w:w="60"/>
              <w:right w:type="dxa" w:w="100"/>
            </w:tcMar>
          </w:tcPr>
          <w:p>
            <w:r>
              <w:rPr>
                <w:sz w:val="21"/>
                <w:szCs w:val="21"/>
              </w:rPr>
              <w:t xml:space="preserve">Aucune violation flake8</w:t>
            </w:r>
          </w:p>
        </w:tc>
        <w:tc>
          <w:tcPr>
            <w:tcW w:type="dxa" w:w="2337"/>
            <w:tcMar>
              <w:top w:type="dxa" w:w="60"/>
              <w:left w:type="dxa" w:w="100"/>
              <w:bottom w:type="dxa" w:w="60"/>
              <w:right w:type="dxa" w:w="100"/>
            </w:tcMar>
          </w:tcPr>
          <w:p>
            <w:r>
              <w:rPr>
                <w:sz w:val="21"/>
                <w:szCs w:val="21"/>
              </w:rPr>
              <w:t xml:space="preserve">OUI</w:t>
            </w:r>
          </w:p>
        </w:tc>
        <w:tc>
          <w:tcPr>
            <w:tcW w:type="dxa" w:w="2337"/>
            <w:tcMar>
              <w:top w:type="dxa" w:w="60"/>
              <w:left w:type="dxa" w:w="100"/>
              <w:bottom w:type="dxa" w:w="60"/>
              <w:right w:type="dxa" w:w="100"/>
            </w:tcMar>
          </w:tcPr>
          <w:p>
            <w:r>
              <w:rPr>
                <w:sz w:val="21"/>
                <w:szCs w:val="21"/>
              </w:rPr>
              <w:t xml:space="preserve">Annexe A1</w:t>
            </w:r>
          </w:p>
        </w:tc>
      </w:tr>
      <w:tr>
        <w:trPr>
          <w:tblHeader w:val="false"/>
        </w:trPr>
        <w:tc>
          <w:tcPr>
            <w:tcW w:type="dxa" w:w="2337"/>
            <w:tcMar>
              <w:top w:type="dxa" w:w="60"/>
              <w:left w:type="dxa" w:w="100"/>
              <w:bottom w:type="dxa" w:w="60"/>
              <w:right w:type="dxa" w:w="100"/>
            </w:tcMar>
          </w:tcPr>
          <w:p>
            <w:r>
              <w:rPr>
                <w:sz w:val="21"/>
                <w:szCs w:val="21"/>
              </w:rPr>
              <w:t xml:space="preserve">15</w:t>
            </w:r>
          </w:p>
        </w:tc>
        <w:tc>
          <w:tcPr>
            <w:tcW w:type="dxa" w:w="2337"/>
            <w:tcMar>
              <w:top w:type="dxa" w:w="60"/>
              <w:left w:type="dxa" w:w="100"/>
              <w:bottom w:type="dxa" w:w="60"/>
              <w:right w:type="dxa" w:w="100"/>
            </w:tcMar>
          </w:tcPr>
          <w:p>
            <w:r>
              <w:rPr>
                <w:sz w:val="21"/>
                <w:szCs w:val="21"/>
              </w:rPr>
              <w:t xml:space="preserve">Suite de tests automatisés au vert</w:t>
            </w:r>
          </w:p>
        </w:tc>
        <w:tc>
          <w:tcPr>
            <w:tcW w:type="dxa" w:w="2337"/>
            <w:tcMar>
              <w:top w:type="dxa" w:w="60"/>
              <w:left w:type="dxa" w:w="100"/>
              <w:bottom w:type="dxa" w:w="60"/>
              <w:right w:type="dxa" w:w="100"/>
            </w:tcMar>
          </w:tcPr>
          <w:p>
            <w:r>
              <w:rPr>
                <w:sz w:val="21"/>
                <w:szCs w:val="21"/>
              </w:rPr>
              <w:t xml:space="preserve">OUI</w:t>
            </w:r>
          </w:p>
        </w:tc>
        <w:tc>
          <w:tcPr>
            <w:tcW w:type="dxa" w:w="2337"/>
            <w:tcMar>
              <w:top w:type="dxa" w:w="60"/>
              <w:left w:type="dxa" w:w="100"/>
              <w:bottom w:type="dxa" w:w="60"/>
              <w:right w:type="dxa" w:w="100"/>
            </w:tcMar>
          </w:tcPr>
          <w:p>
            <w:r>
              <w:rPr>
                <w:sz w:val="21"/>
                <w:szCs w:val="21"/>
              </w:rPr>
              <w:t xml:space="preserve">33/33 (annexe A1, présent document)</w:t>
            </w:r>
          </w:p>
        </w:tc>
      </w:tr>
    </w:tbl>
    <w:p>
      <w:pPr>
        <w:spacing w:after="160"/>
      </w:pPr>
    </w:p>
    <w:p>
      <w:pPr>
        <w:spacing w:after="120"/>
      </w:pPr>
      <w:r>
        <w:rPr>
          <w:b/>
          <w:bCs/>
          <w:sz w:val="21"/>
          <w:szCs w:val="21"/>
        </w:rPr>
        <w:t xml:space="preserve">13 critères sur 15 vérifiés en conditions réelles</w:t>
      </w:r>
      <w:r>
        <w:rPr>
          <w:sz w:val="21"/>
          <w:szCs w:val="21"/>
        </w:rPr>
        <w:t xml:space="preserve">, 2 nécessitant un environnement de production (domaine + certificat réel) non reproductible dans le cadre de la rédaction de ce dossier.</w:t>
      </w:r>
    </w:p>
    <w:p>
      <w:pPr>
        <w:spacing w:after="120"/>
      </w:pPr>
      <w:r>
        <w:rPr>
          <w:b/>
          <w:bCs/>
          <w:sz w:val="21"/>
          <w:szCs w:val="21"/>
        </w:rPr>
        <w:t xml:space="preserve">[⇒] Projection méthodologique — PV de recette.</w:t>
      </w:r>
      <w:r>
        <w:rPr>
          <w:sz w:val="21"/>
          <w:szCs w:val="21"/>
        </w:rPr>
        <w:t xml:space="preserve"> En contexte professionnel, cette grille serait signée par le client ou le Product Owner et constituerait le PV de recette formel exigé par IGS/IPI ; sur ce projet personnel, elle reste une auto-évaluation outillée par des tests automatisés.</w:t>
      </w:r>
    </w:p>
    <w:p>
      <w:pPr>
        <w:pStyle w:val="Heading2"/>
        <w:spacing w:after="140" w:before="300"/>
      </w:pPr>
      <w:r>
        <w:t xml:space="preserve">Tableau des risques de sécurité (analyse DevSecOps, OWASP Top 10 2021)</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1870"/>
        <w:gridCol w:w="1870"/>
        <w:gridCol w:w="1870"/>
        <w:gridCol w:w="1870"/>
        <w:gridCol w:w="1870"/>
      </w:tblGrid>
      <w:tr>
        <w:trPr>
          <w:tblHeader/>
        </w:trPr>
        <w:tc>
          <w:tcPr>
            <w:tcW w:type="dxa" w:w="1870"/>
            <w:shd w:fill="1f2937" w:color="auto" w:val="clear"/>
            <w:tcMar>
              <w:top w:type="dxa" w:w="60"/>
              <w:left w:type="dxa" w:w="100"/>
              <w:bottom w:type="dxa" w:w="60"/>
              <w:right w:type="dxa" w:w="100"/>
            </w:tcMar>
          </w:tcPr>
          <w:p>
            <w:r>
              <w:rPr>
                <w:b/>
                <w:bCs/>
                <w:color w:val="FFFFFF"/>
                <w:sz w:val="19"/>
                <w:szCs w:val="19"/>
              </w:rPr>
              <w:t xml:space="preserve">Risque</w:t>
            </w:r>
          </w:p>
        </w:tc>
        <w:tc>
          <w:tcPr>
            <w:tcW w:type="dxa" w:w="1870"/>
            <w:shd w:fill="1f2937" w:color="auto" w:val="clear"/>
            <w:tcMar>
              <w:top w:type="dxa" w:w="60"/>
              <w:left w:type="dxa" w:w="100"/>
              <w:bottom w:type="dxa" w:w="60"/>
              <w:right w:type="dxa" w:w="100"/>
            </w:tcMar>
          </w:tcPr>
          <w:p>
            <w:r>
              <w:rPr>
                <w:b/>
                <w:bCs/>
                <w:color w:val="FFFFFF"/>
                <w:sz w:val="19"/>
                <w:szCs w:val="19"/>
              </w:rPr>
              <w:t xml:space="preserve">Criticité</w:t>
            </w:r>
          </w:p>
        </w:tc>
        <w:tc>
          <w:tcPr>
            <w:tcW w:type="dxa" w:w="1870"/>
            <w:shd w:fill="1f2937" w:color="auto" w:val="clear"/>
            <w:tcMar>
              <w:top w:type="dxa" w:w="60"/>
              <w:left w:type="dxa" w:w="100"/>
              <w:bottom w:type="dxa" w:w="60"/>
              <w:right w:type="dxa" w:w="100"/>
            </w:tcMar>
          </w:tcPr>
          <w:p>
            <w:r>
              <w:rPr>
                <w:b/>
                <w:bCs/>
                <w:color w:val="FFFFFF"/>
                <w:sz w:val="19"/>
                <w:szCs w:val="19"/>
              </w:rPr>
              <w:t xml:space="preserve">Probabilité</w:t>
            </w:r>
          </w:p>
        </w:tc>
        <w:tc>
          <w:tcPr>
            <w:tcW w:type="dxa" w:w="1870"/>
            <w:shd w:fill="1f2937" w:color="auto" w:val="clear"/>
            <w:tcMar>
              <w:top w:type="dxa" w:w="60"/>
              <w:left w:type="dxa" w:w="100"/>
              <w:bottom w:type="dxa" w:w="60"/>
              <w:right w:type="dxa" w:w="100"/>
            </w:tcMar>
          </w:tcPr>
          <w:p>
            <w:r>
              <w:rPr>
                <w:b/>
                <w:bCs/>
                <w:color w:val="FFFFFF"/>
                <w:sz w:val="19"/>
                <w:szCs w:val="19"/>
              </w:rPr>
              <w:t xml:space="preserve">Mitigation implémentée</w:t>
            </w:r>
          </w:p>
        </w:tc>
        <w:tc>
          <w:tcPr>
            <w:tcW w:type="dxa" w:w="1870"/>
            <w:shd w:fill="1f2937" w:color="auto" w:val="clear"/>
            <w:tcMar>
              <w:top w:type="dxa" w:w="60"/>
              <w:left w:type="dxa" w:w="100"/>
              <w:bottom w:type="dxa" w:w="60"/>
              <w:right w:type="dxa" w:w="100"/>
            </w:tcMar>
          </w:tcPr>
          <w:p>
            <w:r>
              <w:rPr>
                <w:b/>
                <w:bCs/>
                <w:color w:val="FFFFFF"/>
                <w:sz w:val="19"/>
                <w:szCs w:val="19"/>
              </w:rPr>
              <w:t xml:space="preserve">Preuve</w:t>
            </w:r>
          </w:p>
        </w:tc>
      </w:tr>
      <w:tr>
        <w:trPr>
          <w:tblHeader w:val="false"/>
        </w:trPr>
        <w:tc>
          <w:tcPr>
            <w:tcW w:type="dxa" w:w="1870"/>
            <w:tcMar>
              <w:top w:type="dxa" w:w="60"/>
              <w:left w:type="dxa" w:w="100"/>
              <w:bottom w:type="dxa" w:w="60"/>
              <w:right w:type="dxa" w:w="100"/>
            </w:tcMar>
          </w:tcPr>
          <w:p>
            <w:r>
              <w:rPr>
                <w:sz w:val="21"/>
                <w:szCs w:val="21"/>
              </w:rPr>
              <w:t xml:space="preserve">Accès non autorisé à une route admin</w:t>
            </w:r>
          </w:p>
        </w:tc>
        <w:tc>
          <w:tcPr>
            <w:tcW w:type="dxa" w:w="1870"/>
            <w:tcMar>
              <w:top w:type="dxa" w:w="60"/>
              <w:left w:type="dxa" w:w="100"/>
              <w:bottom w:type="dxa" w:w="60"/>
              <w:right w:type="dxa" w:w="100"/>
            </w:tcMar>
          </w:tcPr>
          <w:p>
            <w:r>
              <w:rPr>
                <w:sz w:val="21"/>
                <w:szCs w:val="21"/>
              </w:rPr>
              <w:t xml:space="preserve">Haute</w:t>
            </w:r>
          </w:p>
        </w:tc>
        <w:tc>
          <w:tcPr>
            <w:tcW w:type="dxa" w:w="1870"/>
            <w:tcMar>
              <w:top w:type="dxa" w:w="60"/>
              <w:left w:type="dxa" w:w="100"/>
              <w:bottom w:type="dxa" w:w="60"/>
              <w:right w:type="dxa" w:w="100"/>
            </w:tcMar>
          </w:tcPr>
          <w:p>
            <w:r>
              <w:rPr>
                <w:sz w:val="21"/>
                <w:szCs w:val="21"/>
              </w:rPr>
              <w:t xml:space="preserve">Moyenne</w:t>
            </w:r>
          </w:p>
        </w:tc>
        <w:tc>
          <w:tcPr>
            <w:tcW w:type="dxa" w:w="1870"/>
            <w:tcMar>
              <w:top w:type="dxa" w:w="60"/>
              <w:left w:type="dxa" w:w="100"/>
              <w:bottom w:type="dxa" w:w="60"/>
              <w:right w:type="dxa" w:w="100"/>
            </w:tcMar>
          </w:tcPr>
          <w:p>
            <w:r>
              <w:rPr>
                <w:sz w:val="21"/>
                <w:szCs w:val="21"/>
              </w:rPr>
              <w:t xml:space="preserve">Décorateur </w:t>
            </w:r>
            <w:r>
              <w:rPr>
                <w:rFonts w:ascii="Consolas" w:cs="Consolas" w:eastAsia="Consolas" w:hAnsi="Consolas"/>
                <w:color w:val="1f2937"/>
                <w:sz w:val="19"/>
                <w:szCs w:val="19"/>
              </w:rPr>
              <w:t xml:space="preserve">require_admin</w:t>
            </w:r>
            <w:r>
              <w:rPr>
                <w:sz w:val="21"/>
                <w:szCs w:val="21"/>
              </w:rPr>
              <w:t xml:space="preserve">, vérification du groupe </w:t>
            </w:r>
            <w:r>
              <w:rPr>
                <w:rFonts w:ascii="Consolas" w:cs="Consolas" w:eastAsia="Consolas" w:hAnsi="Consolas"/>
                <w:color w:val="1f2937"/>
                <w:sz w:val="19"/>
                <w:szCs w:val="19"/>
              </w:rPr>
              <w:t xml:space="preserve">/admin</w:t>
            </w:r>
            <w:r>
              <w:rPr>
                <w:sz w:val="21"/>
                <w:szCs w:val="21"/>
              </w:rPr>
              <w:t xml:space="preserve"> à chaque requête</w:t>
            </w:r>
          </w:p>
        </w:tc>
        <w:tc>
          <w:tcPr>
            <w:tcW w:type="dxa" w:w="1870"/>
            <w:tcMar>
              <w:top w:type="dxa" w:w="60"/>
              <w:left w:type="dxa" w:w="100"/>
              <w:bottom w:type="dxa" w:w="60"/>
              <w:right w:type="dxa" w:w="100"/>
            </w:tcMar>
          </w:tcPr>
          <w:p>
            <w:r>
              <w:rPr>
                <w:sz w:val="21"/>
                <w:szCs w:val="21"/>
              </w:rPr>
              <w:t xml:space="preserve">TS-02, IT-03</w:t>
            </w:r>
          </w:p>
        </w:tc>
      </w:tr>
      <w:tr>
        <w:trPr>
          <w:tblHeader w:val="false"/>
        </w:trPr>
        <w:tc>
          <w:tcPr>
            <w:tcW w:type="dxa" w:w="1870"/>
            <w:tcMar>
              <w:top w:type="dxa" w:w="60"/>
              <w:left w:type="dxa" w:w="100"/>
              <w:bottom w:type="dxa" w:w="60"/>
              <w:right w:type="dxa" w:w="100"/>
            </w:tcMar>
          </w:tcPr>
          <w:p>
            <w:r>
              <w:rPr>
                <w:sz w:val="21"/>
                <w:szCs w:val="21"/>
              </w:rPr>
              <w:t xml:space="preserve">Injection SQL</w:t>
            </w:r>
          </w:p>
        </w:tc>
        <w:tc>
          <w:tcPr>
            <w:tcW w:type="dxa" w:w="1870"/>
            <w:tcMar>
              <w:top w:type="dxa" w:w="60"/>
              <w:left w:type="dxa" w:w="100"/>
              <w:bottom w:type="dxa" w:w="60"/>
              <w:right w:type="dxa" w:w="100"/>
            </w:tcMar>
          </w:tcPr>
          <w:p>
            <w:r>
              <w:rPr>
                <w:sz w:val="21"/>
                <w:szCs w:val="21"/>
              </w:rPr>
              <w:t xml:space="preserve">Haute</w:t>
            </w:r>
          </w:p>
        </w:tc>
        <w:tc>
          <w:tcPr>
            <w:tcW w:type="dxa" w:w="1870"/>
            <w:tcMar>
              <w:top w:type="dxa" w:w="60"/>
              <w:left w:type="dxa" w:w="100"/>
              <w:bottom w:type="dxa" w:w="60"/>
              <w:right w:type="dxa" w:w="100"/>
            </w:tcMar>
          </w:tcPr>
          <w:p>
            <w:r>
              <w:rPr>
                <w:sz w:val="21"/>
                <w:szCs w:val="21"/>
              </w:rPr>
              <w:t xml:space="preserve">Basse (mitigée)</w:t>
            </w:r>
          </w:p>
        </w:tc>
        <w:tc>
          <w:tcPr>
            <w:tcW w:type="dxa" w:w="1870"/>
            <w:tcMar>
              <w:top w:type="dxa" w:w="60"/>
              <w:left w:type="dxa" w:w="100"/>
              <w:bottom w:type="dxa" w:w="60"/>
              <w:right w:type="dxa" w:w="100"/>
            </w:tcMar>
          </w:tcPr>
          <w:p>
            <w:r>
              <w:rPr>
                <w:sz w:val="21"/>
                <w:szCs w:val="21"/>
              </w:rPr>
              <w:t xml:space="preserve">Requêtes 100 % paramétrées (PyMySQL, </w:t>
            </w:r>
            <w:r>
              <w:rPr>
                <w:rFonts w:ascii="Consolas" w:cs="Consolas" w:eastAsia="Consolas" w:hAnsi="Consolas"/>
                <w:color w:val="1f2937"/>
                <w:sz w:val="19"/>
                <w:szCs w:val="19"/>
              </w:rPr>
              <w:t xml:space="preserve">%s</w:t>
            </w:r>
            <w:r>
              <w:rPr>
                <w:sz w:val="21"/>
                <w:szCs w:val="21"/>
              </w:rPr>
              <w:t xml:space="preserve">), aucune concaténation</w:t>
            </w:r>
          </w:p>
        </w:tc>
        <w:tc>
          <w:tcPr>
            <w:tcW w:type="dxa" w:w="1870"/>
            <w:tcMar>
              <w:top w:type="dxa" w:w="60"/>
              <w:left w:type="dxa" w:w="100"/>
              <w:bottom w:type="dxa" w:w="60"/>
              <w:right w:type="dxa" w:w="100"/>
            </w:tcMar>
          </w:tcPr>
          <w:p>
            <w:r>
              <w:rPr>
                <w:sz w:val="21"/>
                <w:szCs w:val="21"/>
              </w:rPr>
              <w:t xml:space="preserve">TS-01</w:t>
            </w:r>
          </w:p>
        </w:tc>
      </w:tr>
      <w:tr>
        <w:trPr>
          <w:tblHeader w:val="false"/>
        </w:trPr>
        <w:tc>
          <w:tcPr>
            <w:tcW w:type="dxa" w:w="1870"/>
            <w:tcMar>
              <w:top w:type="dxa" w:w="60"/>
              <w:left w:type="dxa" w:w="100"/>
              <w:bottom w:type="dxa" w:w="60"/>
              <w:right w:type="dxa" w:w="100"/>
            </w:tcMar>
          </w:tcPr>
          <w:p>
            <w:r>
              <w:rPr>
                <w:sz w:val="21"/>
                <w:szCs w:val="21"/>
              </w:rPr>
              <w:t xml:space="preserve">Fuite du </w:t>
            </w:r>
            <w:r>
              <w:rPr>
                <w:rFonts w:ascii="Consolas" w:cs="Consolas" w:eastAsia="Consolas" w:hAnsi="Consolas"/>
                <w:color w:val="1f2937"/>
                <w:sz w:val="19"/>
                <w:szCs w:val="19"/>
              </w:rPr>
              <w:t xml:space="preserve">CLIENT_SECRET</w:t>
            </w:r>
            <w:r>
              <w:rPr>
                <w:sz w:val="21"/>
                <w:szCs w:val="21"/>
              </w:rPr>
              <w:t xml:space="preserve"> OIDC</w:t>
            </w:r>
          </w:p>
        </w:tc>
        <w:tc>
          <w:tcPr>
            <w:tcW w:type="dxa" w:w="1870"/>
            <w:tcMar>
              <w:top w:type="dxa" w:w="60"/>
              <w:left w:type="dxa" w:w="100"/>
              <w:bottom w:type="dxa" w:w="60"/>
              <w:right w:type="dxa" w:w="100"/>
            </w:tcMar>
          </w:tcPr>
          <w:p>
            <w:r>
              <w:rPr>
                <w:sz w:val="21"/>
                <w:szCs w:val="21"/>
              </w:rPr>
              <w:t xml:space="preserve">Haute</w:t>
            </w:r>
          </w:p>
        </w:tc>
        <w:tc>
          <w:tcPr>
            <w:tcW w:type="dxa" w:w="1870"/>
            <w:tcMar>
              <w:top w:type="dxa" w:w="60"/>
              <w:left w:type="dxa" w:w="100"/>
              <w:bottom w:type="dxa" w:w="60"/>
              <w:right w:type="dxa" w:w="100"/>
            </w:tcMar>
          </w:tcPr>
          <w:p>
            <w:r>
              <w:rPr>
                <w:sz w:val="21"/>
                <w:szCs w:val="21"/>
              </w:rPr>
              <w:t xml:space="preserve">Basse</w:t>
            </w:r>
          </w:p>
        </w:tc>
        <w:tc>
          <w:tcPr>
            <w:tcW w:type="dxa" w:w="1870"/>
            <w:tcMar>
              <w:top w:type="dxa" w:w="60"/>
              <w:left w:type="dxa" w:w="100"/>
              <w:bottom w:type="dxa" w:w="60"/>
              <w:right w:type="dxa" w:w="100"/>
            </w:tcMar>
          </w:tcPr>
          <w:p>
            <w:r>
              <w:rPr>
                <w:sz w:val="21"/>
                <w:szCs w:val="21"/>
              </w:rPr>
              <w:t xml:space="preserve">Secrets dans </w:t>
            </w:r>
            <w:r>
              <w:rPr>
                <w:rFonts w:ascii="Consolas" w:cs="Consolas" w:eastAsia="Consolas" w:hAnsi="Consolas"/>
                <w:color w:val="1f2937"/>
                <w:sz w:val="19"/>
                <w:szCs w:val="19"/>
              </w:rPr>
              <w:t xml:space="preserve">.env</w:t>
            </w:r>
            <w:r>
              <w:rPr>
                <w:sz w:val="21"/>
                <w:szCs w:val="21"/>
              </w:rPr>
              <w:t xml:space="preserve">, exclu de Git (</w:t>
            </w:r>
            <w:r>
              <w:rPr>
                <w:rFonts w:ascii="Consolas" w:cs="Consolas" w:eastAsia="Consolas" w:hAnsi="Consolas"/>
                <w:color w:val="1f2937"/>
                <w:sz w:val="19"/>
                <w:szCs w:val="19"/>
              </w:rPr>
              <w:t xml:space="preserve">.gitignore</w:t>
            </w:r>
            <w:r>
              <w:rPr>
                <w:sz w:val="21"/>
                <w:szCs w:val="21"/>
              </w:rPr>
              <w:t xml:space="preserve">)</w:t>
            </w:r>
          </w:p>
        </w:tc>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web/.env.example</w:t>
            </w:r>
          </w:p>
        </w:tc>
      </w:tr>
      <w:tr>
        <w:trPr>
          <w:tblHeader w:val="false"/>
        </w:trPr>
        <w:tc>
          <w:tcPr>
            <w:tcW w:type="dxa" w:w="1870"/>
            <w:tcMar>
              <w:top w:type="dxa" w:w="60"/>
              <w:left w:type="dxa" w:w="100"/>
              <w:bottom w:type="dxa" w:w="60"/>
              <w:right w:type="dxa" w:w="100"/>
            </w:tcMar>
          </w:tcPr>
          <w:p>
            <w:r>
              <w:rPr>
                <w:sz w:val="21"/>
                <w:szCs w:val="21"/>
              </w:rPr>
              <w:t xml:space="preserve">Upload de fichier malveillant</w:t>
            </w:r>
          </w:p>
        </w:tc>
        <w:tc>
          <w:tcPr>
            <w:tcW w:type="dxa" w:w="1870"/>
            <w:tcMar>
              <w:top w:type="dxa" w:w="60"/>
              <w:left w:type="dxa" w:w="100"/>
              <w:bottom w:type="dxa" w:w="60"/>
              <w:right w:type="dxa" w:w="100"/>
            </w:tcMar>
          </w:tcPr>
          <w:p>
            <w:r>
              <w:rPr>
                <w:sz w:val="21"/>
                <w:szCs w:val="21"/>
              </w:rPr>
              <w:t xml:space="preserve">Moyenne</w:t>
            </w:r>
          </w:p>
        </w:tc>
        <w:tc>
          <w:tcPr>
            <w:tcW w:type="dxa" w:w="1870"/>
            <w:tcMar>
              <w:top w:type="dxa" w:w="60"/>
              <w:left w:type="dxa" w:w="100"/>
              <w:bottom w:type="dxa" w:w="60"/>
              <w:right w:type="dxa" w:w="100"/>
            </w:tcMar>
          </w:tcPr>
          <w:p>
            <w:r>
              <w:rPr>
                <w:sz w:val="21"/>
                <w:szCs w:val="21"/>
              </w:rPr>
              <w:t xml:space="preserve">Moyenne</w:t>
            </w:r>
          </w:p>
        </w:tc>
        <w:tc>
          <w:tcPr>
            <w:tcW w:type="dxa" w:w="1870"/>
            <w:tcMar>
              <w:top w:type="dxa" w:w="60"/>
              <w:left w:type="dxa" w:w="100"/>
              <w:bottom w:type="dxa" w:w="60"/>
              <w:right w:type="dxa" w:w="100"/>
            </w:tcMar>
          </w:tcPr>
          <w:p>
            <w:r>
              <w:rPr>
                <w:sz w:val="21"/>
                <w:szCs w:val="21"/>
              </w:rPr>
              <w:t xml:space="preserve">Vérification MIME réelle (python-magic) + extension + taille</w:t>
            </w:r>
          </w:p>
        </w:tc>
        <w:tc>
          <w:tcPr>
            <w:tcW w:type="dxa" w:w="1870"/>
            <w:tcMar>
              <w:top w:type="dxa" w:w="60"/>
              <w:left w:type="dxa" w:w="100"/>
              <w:bottom w:type="dxa" w:w="60"/>
              <w:right w:type="dxa" w:w="100"/>
            </w:tcMar>
          </w:tcPr>
          <w:p>
            <w:r>
              <w:rPr>
                <w:sz w:val="21"/>
                <w:szCs w:val="21"/>
              </w:rPr>
              <w:t xml:space="preserve">UT-06, UT-07</w:t>
            </w:r>
          </w:p>
        </w:tc>
      </w:tr>
      <w:tr>
        <w:trPr>
          <w:tblHeader w:val="false"/>
        </w:trPr>
        <w:tc>
          <w:tcPr>
            <w:tcW w:type="dxa" w:w="1870"/>
            <w:tcMar>
              <w:top w:type="dxa" w:w="60"/>
              <w:left w:type="dxa" w:w="100"/>
              <w:bottom w:type="dxa" w:w="60"/>
              <w:right w:type="dxa" w:w="100"/>
            </w:tcMar>
          </w:tcPr>
          <w:p>
            <w:r>
              <w:rPr>
                <w:sz w:val="21"/>
                <w:szCs w:val="21"/>
              </w:rPr>
              <w:t xml:space="preserve">CSRF sur les formulaires</w:t>
            </w:r>
          </w:p>
        </w:tc>
        <w:tc>
          <w:tcPr>
            <w:tcW w:type="dxa" w:w="1870"/>
            <w:tcMar>
              <w:top w:type="dxa" w:w="60"/>
              <w:left w:type="dxa" w:w="100"/>
              <w:bottom w:type="dxa" w:w="60"/>
              <w:right w:type="dxa" w:w="100"/>
            </w:tcMar>
          </w:tcPr>
          <w:p>
            <w:r>
              <w:rPr>
                <w:sz w:val="21"/>
                <w:szCs w:val="21"/>
              </w:rPr>
              <w:t xml:space="preserve">Moyenne</w:t>
            </w:r>
          </w:p>
        </w:tc>
        <w:tc>
          <w:tcPr>
            <w:tcW w:type="dxa" w:w="1870"/>
            <w:tcMar>
              <w:top w:type="dxa" w:w="60"/>
              <w:left w:type="dxa" w:w="100"/>
              <w:bottom w:type="dxa" w:w="60"/>
              <w:right w:type="dxa" w:w="100"/>
            </w:tcMar>
          </w:tcPr>
          <w:p>
            <w:r>
              <w:rPr>
                <w:sz w:val="21"/>
                <w:szCs w:val="21"/>
              </w:rPr>
              <w:t xml:space="preserve">Basse</w:t>
            </w:r>
          </w:p>
        </w:tc>
        <w:tc>
          <w:tcPr>
            <w:tcW w:type="dxa" w:w="1870"/>
            <w:tcMar>
              <w:top w:type="dxa" w:w="60"/>
              <w:left w:type="dxa" w:w="100"/>
              <w:bottom w:type="dxa" w:w="60"/>
              <w:right w:type="dxa" w:w="100"/>
            </w:tcMar>
          </w:tcPr>
          <w:p>
            <w:r>
              <w:rPr>
                <w:sz w:val="21"/>
                <w:szCs w:val="21"/>
              </w:rPr>
              <w:t xml:space="preserve">Cookies </w:t>
            </w:r>
            <w:r>
              <w:rPr>
                <w:rFonts w:ascii="Consolas" w:cs="Consolas" w:eastAsia="Consolas" w:hAnsi="Consolas"/>
                <w:color w:val="1f2937"/>
                <w:sz w:val="19"/>
                <w:szCs w:val="19"/>
              </w:rPr>
              <w:t xml:space="preserve">SameSite</w:t>
            </w:r>
            <w:r>
              <w:rPr>
                <w:sz w:val="21"/>
                <w:szCs w:val="21"/>
              </w:rPr>
              <w:t xml:space="preserve"> par défaut de Flask, API JSON (pas de formulaire HTML classique exposé)</w:t>
            </w:r>
          </w:p>
        </w:tc>
        <w:tc>
          <w:tcPr>
            <w:tcW w:type="dxa" w:w="1870"/>
            <w:tcMar>
              <w:top w:type="dxa" w:w="60"/>
              <w:left w:type="dxa" w:w="100"/>
              <w:bottom w:type="dxa" w:w="60"/>
              <w:right w:type="dxa" w:w="100"/>
            </w:tcMar>
          </w:tcPr>
          <w:p>
            <w:r>
              <w:rPr>
                <w:sz w:val="21"/>
                <w:szCs w:val="21"/>
              </w:rPr>
              <w:t xml:space="preserve">—</w:t>
            </w:r>
          </w:p>
        </w:tc>
      </w:tr>
      <w:tr>
        <w:trPr>
          <w:tblHeader w:val="false"/>
        </w:trPr>
        <w:tc>
          <w:tcPr>
            <w:tcW w:type="dxa" w:w="1870"/>
            <w:tcMar>
              <w:top w:type="dxa" w:w="60"/>
              <w:left w:type="dxa" w:w="100"/>
              <w:bottom w:type="dxa" w:w="60"/>
              <w:right w:type="dxa" w:w="100"/>
            </w:tcMar>
          </w:tcPr>
          <w:p>
            <w:r>
              <w:rPr>
                <w:sz w:val="21"/>
                <w:szCs w:val="21"/>
              </w:rPr>
              <w:t xml:space="preserve">Exposition des ports internes</w:t>
            </w:r>
          </w:p>
        </w:tc>
        <w:tc>
          <w:tcPr>
            <w:tcW w:type="dxa" w:w="1870"/>
            <w:tcMar>
              <w:top w:type="dxa" w:w="60"/>
              <w:left w:type="dxa" w:w="100"/>
              <w:bottom w:type="dxa" w:w="60"/>
              <w:right w:type="dxa" w:w="100"/>
            </w:tcMar>
          </w:tcPr>
          <w:p>
            <w:r>
              <w:rPr>
                <w:sz w:val="21"/>
                <w:szCs w:val="21"/>
              </w:rPr>
              <w:t xml:space="preserve">Moyenne</w:t>
            </w:r>
          </w:p>
        </w:tc>
        <w:tc>
          <w:tcPr>
            <w:tcW w:type="dxa" w:w="1870"/>
            <w:tcMar>
              <w:top w:type="dxa" w:w="60"/>
              <w:left w:type="dxa" w:w="100"/>
              <w:bottom w:type="dxa" w:w="60"/>
              <w:right w:type="dxa" w:w="100"/>
            </w:tcMar>
          </w:tcPr>
          <w:p>
            <w:r>
              <w:rPr>
                <w:sz w:val="21"/>
                <w:szCs w:val="21"/>
              </w:rPr>
              <w:t xml:space="preserve">Basse</w:t>
            </w:r>
          </w:p>
        </w:tc>
        <w:tc>
          <w:tcPr>
            <w:tcW w:type="dxa" w:w="1870"/>
            <w:tcMar>
              <w:top w:type="dxa" w:w="60"/>
              <w:left w:type="dxa" w:w="100"/>
              <w:bottom w:type="dxa" w:w="60"/>
              <w:right w:type="dxa" w:w="100"/>
            </w:tcMar>
          </w:tcPr>
          <w:p>
            <w:r>
              <w:rPr>
                <w:sz w:val="21"/>
                <w:szCs w:val="21"/>
              </w:rPr>
              <w:t xml:space="preserve">Seul Caddy publie des ports, réseau Docker interne</w:t>
            </w:r>
          </w:p>
        </w:tc>
        <w:tc>
          <w:tcPr>
            <w:tcW w:type="dxa" w:w="1870"/>
            <w:tcMar>
              <w:top w:type="dxa" w:w="60"/>
              <w:left w:type="dxa" w:w="100"/>
              <w:bottom w:type="dxa" w:w="60"/>
              <w:right w:type="dxa" w:w="100"/>
            </w:tcMar>
          </w:tcPr>
          <w:p>
            <w:r>
              <w:rPr>
                <w:sz w:val="21"/>
                <w:szCs w:val="21"/>
              </w:rPr>
              <w:t xml:space="preserve">TS-06</w:t>
            </w:r>
          </w:p>
        </w:tc>
      </w:tr>
      <w:tr>
        <w:trPr>
          <w:tblHeader w:val="false"/>
        </w:trPr>
        <w:tc>
          <w:tcPr>
            <w:tcW w:type="dxa" w:w="1870"/>
            <w:tcMar>
              <w:top w:type="dxa" w:w="60"/>
              <w:left w:type="dxa" w:w="100"/>
              <w:bottom w:type="dxa" w:w="60"/>
              <w:right w:type="dxa" w:w="100"/>
            </w:tcMar>
          </w:tcPr>
          <w:p>
            <w:r>
              <w:rPr>
                <w:sz w:val="21"/>
                <w:szCs w:val="21"/>
              </w:rPr>
              <w:t xml:space="preserve">Session non invalidée après déconnexion</w:t>
            </w:r>
          </w:p>
        </w:tc>
        <w:tc>
          <w:tcPr>
            <w:tcW w:type="dxa" w:w="1870"/>
            <w:tcMar>
              <w:top w:type="dxa" w:w="60"/>
              <w:left w:type="dxa" w:w="100"/>
              <w:bottom w:type="dxa" w:w="60"/>
              <w:right w:type="dxa" w:w="100"/>
            </w:tcMar>
          </w:tcPr>
          <w:p>
            <w:r>
              <w:rPr>
                <w:sz w:val="21"/>
                <w:szCs w:val="21"/>
              </w:rPr>
              <w:t xml:space="preserve">Moyenne</w:t>
            </w:r>
          </w:p>
        </w:tc>
        <w:tc>
          <w:tcPr>
            <w:tcW w:type="dxa" w:w="1870"/>
            <w:tcMar>
              <w:top w:type="dxa" w:w="60"/>
              <w:left w:type="dxa" w:w="100"/>
              <w:bottom w:type="dxa" w:w="60"/>
              <w:right w:type="dxa" w:w="100"/>
            </w:tcMar>
          </w:tcPr>
          <w:p>
            <w:r>
              <w:rPr>
                <w:sz w:val="21"/>
                <w:szCs w:val="21"/>
              </w:rPr>
              <w:t xml:space="preserve">Basse</w:t>
            </w:r>
          </w:p>
        </w:tc>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back-channel logout</w:t>
            </w:r>
            <w:r>
              <w:rPr>
                <w:sz w:val="21"/>
                <w:szCs w:val="21"/>
              </w:rPr>
              <w:t xml:space="preserve"> Keycloak, </w:t>
            </w:r>
            <w:r>
              <w:rPr>
                <w:rFonts w:ascii="Consolas" w:cs="Consolas" w:eastAsia="Consolas" w:hAnsi="Consolas"/>
                <w:color w:val="1f2937"/>
                <w:sz w:val="19"/>
                <w:szCs w:val="19"/>
              </w:rPr>
              <w:t xml:space="preserve">session.clear()</w:t>
            </w:r>
            <w:r>
              <w:rPr>
                <w:sz w:val="21"/>
                <w:szCs w:val="21"/>
              </w:rPr>
              <w:t xml:space="preserve"> côté Flask</w:t>
            </w:r>
          </w:p>
        </w:tc>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routes/auth.py::logout</w:t>
            </w:r>
          </w:p>
        </w:tc>
      </w:tr>
    </w:tbl>
    <w:p>
      <w:pPr>
        <w:spacing w:after="160"/>
      </w:pPr>
    </w:p>
    <w:p>
      <w:pPr>
        <w:pStyle w:val="Heading1"/>
        <w:pageBreakBefore/>
        <w:spacing w:after="160" w:before="360"/>
      </w:pPr>
      <w:r>
        <w:t xml:space="preserve">Partie 5 — Rétro-documentation</w:t>
      </w:r>
    </w:p>
    <w:p>
      <w:pPr>
        <w:spacing w:after="120"/>
      </w:pPr>
      <w:r>
        <w:rPr>
          <w:sz w:val="21"/>
          <w:szCs w:val="21"/>
        </w:rPr>
        <w:t xml:space="preserve">Cette rétro-documentation a été produite par analyse du code source réel de </w:t>
      </w:r>
      <w:r>
        <w:rPr>
          <w:rFonts w:ascii="Consolas" w:cs="Consolas" w:eastAsia="Consolas" w:hAnsi="Consolas"/>
          <w:color w:val="1f2937"/>
          <w:sz w:val="19"/>
          <w:szCs w:val="19"/>
        </w:rPr>
        <w:t xml:space="preserve">gesthub-v2</w:t>
      </w:r>
      <w:r>
        <w:rPr>
          <w:sz w:val="21"/>
          <w:szCs w:val="21"/>
        </w:rPr>
        <w:t xml:space="preserve"> (et non rédigée en amont du code), selon la démarche décrite au Bloc 4 — C1 : 1) analyse de l'arborescence, 2) lecture du code pour comprendre le rôle de chaque fonction, 3) reconstruction des flux à partir des appels de fonctions, 4) production du dictionnaire de données.</w:t>
      </w:r>
    </w:p>
    <w:p>
      <w:pPr>
        <w:pStyle w:val="Heading2"/>
        <w:spacing w:after="140" w:before="300"/>
      </w:pPr>
      <w:r>
        <w:t xml:space="preserve">RD-1 — Architecture en 5 couches</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3116"/>
        <w:gridCol w:w="3116"/>
        <w:gridCol w:w="3116"/>
      </w:tblGrid>
      <w:tr>
        <w:trPr>
          <w:tblHeader/>
        </w:trPr>
        <w:tc>
          <w:tcPr>
            <w:tcW w:type="dxa" w:w="3116"/>
            <w:shd w:fill="1f2937" w:color="auto" w:val="clear"/>
            <w:tcMar>
              <w:top w:type="dxa" w:w="60"/>
              <w:left w:type="dxa" w:w="100"/>
              <w:bottom w:type="dxa" w:w="60"/>
              <w:right w:type="dxa" w:w="100"/>
            </w:tcMar>
          </w:tcPr>
          <w:p>
            <w:r>
              <w:rPr>
                <w:b/>
                <w:bCs/>
                <w:color w:val="FFFFFF"/>
                <w:sz w:val="19"/>
                <w:szCs w:val="19"/>
              </w:rPr>
              <w:t xml:space="preserve">Couche</w:t>
            </w:r>
          </w:p>
        </w:tc>
        <w:tc>
          <w:tcPr>
            <w:tcW w:type="dxa" w:w="3116"/>
            <w:shd w:fill="1f2937" w:color="auto" w:val="clear"/>
            <w:tcMar>
              <w:top w:type="dxa" w:w="60"/>
              <w:left w:type="dxa" w:w="100"/>
              <w:bottom w:type="dxa" w:w="60"/>
              <w:right w:type="dxa" w:w="100"/>
            </w:tcMar>
          </w:tcPr>
          <w:p>
            <w:r>
              <w:rPr>
                <w:b/>
                <w:bCs/>
                <w:color w:val="FFFFFF"/>
                <w:sz w:val="19"/>
                <w:szCs w:val="19"/>
              </w:rPr>
              <w:t xml:space="preserve">Répertoire</w:t>
            </w:r>
          </w:p>
        </w:tc>
        <w:tc>
          <w:tcPr>
            <w:tcW w:type="dxa" w:w="3116"/>
            <w:shd w:fill="1f2937" w:color="auto" w:val="clear"/>
            <w:tcMar>
              <w:top w:type="dxa" w:w="60"/>
              <w:left w:type="dxa" w:w="100"/>
              <w:bottom w:type="dxa" w:w="60"/>
              <w:right w:type="dxa" w:w="100"/>
            </w:tcMar>
          </w:tcPr>
          <w:p>
            <w:r>
              <w:rPr>
                <w:b/>
                <w:bCs/>
                <w:color w:val="FFFFFF"/>
                <w:sz w:val="19"/>
                <w:szCs w:val="19"/>
              </w:rPr>
              <w:t xml:space="preserve">Responsabilité</w:t>
            </w:r>
          </w:p>
        </w:tc>
      </w:tr>
      <w:tr>
        <w:trPr>
          <w:tblHeader w:val="false"/>
        </w:trPr>
        <w:tc>
          <w:tcPr>
            <w:tcW w:type="dxa" w:w="3116"/>
            <w:tcMar>
              <w:top w:type="dxa" w:w="60"/>
              <w:left w:type="dxa" w:w="100"/>
              <w:bottom w:type="dxa" w:w="60"/>
              <w:right w:type="dxa" w:w="100"/>
            </w:tcMar>
          </w:tcPr>
          <w:p>
            <w:r>
              <w:rPr>
                <w:sz w:val="21"/>
                <w:szCs w:val="21"/>
              </w:rPr>
              <w:t xml:space="preserve">Présentation</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templates/</w:t>
            </w:r>
            <w:r>
              <w:rPr>
                <w:sz w:val="21"/>
                <w:szCs w:val="21"/>
              </w:rPr>
              <w:t xml:space="preserve">, </w:t>
            </w:r>
            <w:r>
              <w:rPr>
                <w:rFonts w:ascii="Consolas" w:cs="Consolas" w:eastAsia="Consolas" w:hAnsi="Consolas"/>
                <w:color w:val="1f2937"/>
                <w:sz w:val="19"/>
                <w:szCs w:val="19"/>
              </w:rPr>
              <w:t xml:space="preserve">static/</w:t>
            </w:r>
          </w:p>
        </w:tc>
        <w:tc>
          <w:tcPr>
            <w:tcW w:type="dxa" w:w="3116"/>
            <w:tcMar>
              <w:top w:type="dxa" w:w="60"/>
              <w:left w:type="dxa" w:w="100"/>
              <w:bottom w:type="dxa" w:w="60"/>
              <w:right w:type="dxa" w:w="100"/>
            </w:tcMar>
          </w:tcPr>
          <w:p>
            <w:r>
              <w:rPr>
                <w:sz w:val="21"/>
                <w:szCs w:val="21"/>
              </w:rPr>
              <w:t xml:space="preserve">Rendu HTML (Jinja2), CSS, JS (SortableJS pour le drag &amp; drop)</w:t>
            </w:r>
          </w:p>
        </w:tc>
      </w:tr>
      <w:tr>
        <w:trPr>
          <w:tblHeader w:val="false"/>
        </w:trPr>
        <w:tc>
          <w:tcPr>
            <w:tcW w:type="dxa" w:w="3116"/>
            <w:tcMar>
              <w:top w:type="dxa" w:w="60"/>
              <w:left w:type="dxa" w:w="100"/>
              <w:bottom w:type="dxa" w:w="60"/>
              <w:right w:type="dxa" w:w="100"/>
            </w:tcMar>
          </w:tcPr>
          <w:p>
            <w:r>
              <w:rPr>
                <w:sz w:val="21"/>
                <w:szCs w:val="21"/>
              </w:rPr>
              <w:t xml:space="preserve">Contrôleur</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routes/</w:t>
            </w:r>
          </w:p>
        </w:tc>
        <w:tc>
          <w:tcPr>
            <w:tcW w:type="dxa" w:w="3116"/>
            <w:tcMar>
              <w:top w:type="dxa" w:w="60"/>
              <w:left w:type="dxa" w:w="100"/>
              <w:bottom w:type="dxa" w:w="60"/>
              <w:right w:type="dxa" w:w="100"/>
            </w:tcMar>
          </w:tcPr>
          <w:p>
            <w:r>
              <w:rPr>
                <w:sz w:val="21"/>
                <w:szCs w:val="21"/>
              </w:rPr>
              <w:t xml:space="preserve">Orchestration HTTP : authentifie, délègue, répond en JSON/HTML</w:t>
            </w:r>
          </w:p>
        </w:tc>
      </w:tr>
      <w:tr>
        <w:trPr>
          <w:tblHeader w:val="false"/>
        </w:trPr>
        <w:tc>
          <w:tcPr>
            <w:tcW w:type="dxa" w:w="3116"/>
            <w:tcMar>
              <w:top w:type="dxa" w:w="60"/>
              <w:left w:type="dxa" w:w="100"/>
              <w:bottom w:type="dxa" w:w="60"/>
              <w:right w:type="dxa" w:w="100"/>
            </w:tcMar>
          </w:tcPr>
          <w:p>
            <w:r>
              <w:rPr>
                <w:sz w:val="21"/>
                <w:szCs w:val="21"/>
              </w:rPr>
              <w:t xml:space="preserve">Service</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services/</w:t>
            </w:r>
          </w:p>
        </w:tc>
        <w:tc>
          <w:tcPr>
            <w:tcW w:type="dxa" w:w="3116"/>
            <w:tcMar>
              <w:top w:type="dxa" w:w="60"/>
              <w:left w:type="dxa" w:w="100"/>
              <w:bottom w:type="dxa" w:w="60"/>
              <w:right w:type="dxa" w:w="100"/>
            </w:tcMar>
          </w:tcPr>
          <w:p>
            <w:r>
              <w:rPr>
                <w:sz w:val="21"/>
                <w:szCs w:val="21"/>
              </w:rPr>
              <w:t xml:space="preserve">Logique métier, validation, journalisation dans </w:t>
            </w:r>
            <w:r>
              <w:rPr>
                <w:rFonts w:ascii="Consolas" w:cs="Consolas" w:eastAsia="Consolas" w:hAnsi="Consolas"/>
                <w:color w:val="1f2937"/>
                <w:sz w:val="19"/>
                <w:szCs w:val="19"/>
              </w:rPr>
              <w:t xml:space="preserve">audit_log</w:t>
            </w:r>
          </w:p>
        </w:tc>
      </w:tr>
      <w:tr>
        <w:trPr>
          <w:tblHeader w:val="false"/>
        </w:trPr>
        <w:tc>
          <w:tcPr>
            <w:tcW w:type="dxa" w:w="3116"/>
            <w:tcMar>
              <w:top w:type="dxa" w:w="60"/>
              <w:left w:type="dxa" w:w="100"/>
              <w:bottom w:type="dxa" w:w="60"/>
              <w:right w:type="dxa" w:w="100"/>
            </w:tcMar>
          </w:tcPr>
          <w:p>
            <w:r>
              <w:rPr>
                <w:sz w:val="21"/>
                <w:szCs w:val="21"/>
              </w:rPr>
              <w:t xml:space="preserve">Accès données</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models/</w:t>
            </w:r>
          </w:p>
        </w:tc>
        <w:tc>
          <w:tcPr>
            <w:tcW w:type="dxa" w:w="3116"/>
            <w:tcMar>
              <w:top w:type="dxa" w:w="60"/>
              <w:left w:type="dxa" w:w="100"/>
              <w:bottom w:type="dxa" w:w="60"/>
              <w:right w:type="dxa" w:w="100"/>
            </w:tcMar>
          </w:tcPr>
          <w:p>
            <w:r>
              <w:rPr>
                <w:sz w:val="21"/>
                <w:szCs w:val="21"/>
              </w:rPr>
              <w:t xml:space="preserve">Repository Pattern, seules requêtes SQL de tout le projet</w:t>
            </w:r>
          </w:p>
        </w:tc>
      </w:tr>
      <w:tr>
        <w:trPr>
          <w:tblHeader w:val="false"/>
        </w:trPr>
        <w:tc>
          <w:tcPr>
            <w:tcW w:type="dxa" w:w="3116"/>
            <w:tcMar>
              <w:top w:type="dxa" w:w="60"/>
              <w:left w:type="dxa" w:w="100"/>
              <w:bottom w:type="dxa" w:w="60"/>
              <w:right w:type="dxa" w:w="100"/>
            </w:tcMar>
          </w:tcPr>
          <w:p>
            <w:r>
              <w:rPr>
                <w:sz w:val="21"/>
                <w:szCs w:val="21"/>
              </w:rPr>
              <w:t xml:space="preserve">Infrastructure</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db.py</w:t>
            </w:r>
            <w:r>
              <w:rPr>
                <w:sz w:val="21"/>
                <w:szCs w:val="21"/>
              </w:rPr>
              <w:t xml:space="preserve">, </w:t>
            </w:r>
            <w:r>
              <w:rPr>
                <w:rFonts w:ascii="Consolas" w:cs="Consolas" w:eastAsia="Consolas" w:hAnsi="Consolas"/>
                <w:color w:val="1f2937"/>
                <w:sz w:val="19"/>
                <w:szCs w:val="19"/>
              </w:rPr>
              <w:t xml:space="preserve">config.py</w:t>
            </w:r>
            <w:r>
              <w:rPr>
                <w:sz w:val="21"/>
                <w:szCs w:val="21"/>
              </w:rPr>
              <w:t xml:space="preserve">, </w:t>
            </w:r>
            <w:r>
              <w:rPr>
                <w:rFonts w:ascii="Consolas" w:cs="Consolas" w:eastAsia="Consolas" w:hAnsi="Consolas"/>
                <w:color w:val="1f2937"/>
                <w:sz w:val="19"/>
                <w:szCs w:val="19"/>
              </w:rPr>
              <w:t xml:space="preserve">docker-compose.yml</w:t>
            </w:r>
          </w:p>
        </w:tc>
        <w:tc>
          <w:tcPr>
            <w:tcW w:type="dxa" w:w="3116"/>
            <w:tcMar>
              <w:top w:type="dxa" w:w="60"/>
              <w:left w:type="dxa" w:w="100"/>
              <w:bottom w:type="dxa" w:w="60"/>
              <w:right w:type="dxa" w:w="100"/>
            </w:tcMar>
          </w:tcPr>
          <w:p>
            <w:r>
              <w:rPr>
                <w:sz w:val="21"/>
                <w:szCs w:val="21"/>
              </w:rPr>
              <w:t xml:space="preserve">Connexion MariaDB, configuration par variables d'environnement, orchestration des conteneurs</w:t>
            </w:r>
          </w:p>
        </w:tc>
      </w:tr>
    </w:tbl>
    <w:p>
      <w:pPr>
        <w:spacing w:after="160"/>
      </w:pPr>
    </w:p>
    <w:p>
      <w:pPr>
        <w:pStyle w:val="Heading2"/>
        <w:spacing w:after="140" w:before="300"/>
      </w:pPr>
      <w:r>
        <w:t xml:space="preserve">RD-2 — Flux de données détaillés</w:t>
      </w:r>
    </w:p>
    <w:p>
      <w:pPr>
        <w:spacing w:after="120"/>
      </w:pPr>
      <w:r>
        <w:rPr>
          <w:b/>
          <w:bCs/>
          <w:sz w:val="21"/>
          <w:szCs w:val="21"/>
        </w:rPr>
        <w:t xml:space="preserve">Consultation des annonces :</w:t>
      </w:r>
      <w:r>
        <w:rPr>
          <w:sz w:val="21"/>
          <w:szCs w:val="21"/>
        </w:rPr>
        <w:t xml:space="preserve"> </w:t>
      </w:r>
      <w:r>
        <w:rPr>
          <w:rFonts w:ascii="Consolas" w:cs="Consolas" w:eastAsia="Consolas" w:hAnsi="Consolas"/>
          <w:color w:val="1f2937"/>
          <w:sz w:val="19"/>
          <w:szCs w:val="19"/>
        </w:rPr>
        <w:t xml:space="preserve">Navigateur → GET /api/annonces → routes/annonces.py (vérifie la session) → services/annonce_service.list_annonces → models/annonce_model.fetch_all → MariaDB (SELECT paramétré) → JSON → Navigateur</w:t>
      </w:r>
    </w:p>
    <w:p>
      <w:pPr>
        <w:spacing w:after="120"/>
      </w:pPr>
      <w:r>
        <w:rPr>
          <w:b/>
          <w:bCs/>
          <w:sz w:val="21"/>
          <w:szCs w:val="21"/>
        </w:rPr>
        <w:t xml:space="preserve">Upload de fichier :</w:t>
      </w:r>
      <w:r>
        <w:rPr>
          <w:sz w:val="21"/>
          <w:szCs w:val="21"/>
        </w:rPr>
        <w:t xml:space="preserve"> </w:t>
      </w:r>
      <w:r>
        <w:rPr>
          <w:rFonts w:ascii="Consolas" w:cs="Consolas" w:eastAsia="Consolas" w:hAnsi="Consolas"/>
          <w:color w:val="1f2937"/>
          <w:sz w:val="19"/>
          <w:szCs w:val="19"/>
        </w:rPr>
        <w:t xml:space="preserve">Navigateur (multipart/form-data) → routes/fichiers.py → services/ fichier_service.handle_upload (8 étapes : présence → taille → MIME → extension → nom UUID → écriture disque → INSERT métadonnées → INSERT audit_log) → réponse JSON {id}</w:t>
      </w:r>
    </w:p>
    <w:p>
      <w:pPr>
        <w:spacing w:after="120"/>
      </w:pPr>
      <w:r>
        <w:rPr>
          <w:b/>
          <w:bCs/>
          <w:sz w:val="21"/>
          <w:szCs w:val="21"/>
        </w:rPr>
        <w:t xml:space="preserve">Téléchargement de fichier :</w:t>
      </w:r>
      <w:r>
        <w:rPr>
          <w:sz w:val="21"/>
          <w:szCs w:val="21"/>
        </w:rPr>
        <w:t xml:space="preserve"> </w:t>
      </w:r>
      <w:r>
        <w:rPr>
          <w:rFonts w:ascii="Consolas" w:cs="Consolas" w:eastAsia="Consolas" w:hAnsi="Consolas"/>
          <w:color w:val="1f2937"/>
          <w:sz w:val="19"/>
          <w:szCs w:val="19"/>
        </w:rPr>
        <w:t xml:space="preserve">Navigateur → GET /api/fichiers/{id}/download → vérification des droits (propriétaire ou admin) → audit_log (SUCCESS ou REFUSED) → send_file (si autorisé) ou 403</w:t>
      </w:r>
    </w:p>
    <w:p>
      <w:pPr>
        <w:pStyle w:val="Heading2"/>
        <w:spacing w:after="140" w:before="300"/>
      </w:pPr>
      <w:r>
        <w:t xml:space="preserve">RD-3 — Flux d'authentification OIDC (annoté, 7 étapes)</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3116"/>
        <w:gridCol w:w="3116"/>
        <w:gridCol w:w="3116"/>
      </w:tblGrid>
      <w:tr>
        <w:trPr>
          <w:tblHeader/>
        </w:trPr>
        <w:tc>
          <w:tcPr>
            <w:tcW w:type="dxa" w:w="3116"/>
            <w:shd w:fill="1f2937" w:color="auto" w:val="clear"/>
            <w:tcMar>
              <w:top w:type="dxa" w:w="60"/>
              <w:left w:type="dxa" w:w="100"/>
              <w:bottom w:type="dxa" w:w="60"/>
              <w:right w:type="dxa" w:w="100"/>
            </w:tcMar>
          </w:tcPr>
          <w:p>
            <w:r>
              <w:rPr>
                <w:b/>
                <w:bCs/>
                <w:color w:val="FFFFFF"/>
                <w:sz w:val="19"/>
                <w:szCs w:val="19"/>
              </w:rPr>
              <w:t xml:space="preserve">Étape</w:t>
            </w:r>
          </w:p>
        </w:tc>
        <w:tc>
          <w:tcPr>
            <w:tcW w:type="dxa" w:w="3116"/>
            <w:shd w:fill="1f2937" w:color="auto" w:val="clear"/>
            <w:tcMar>
              <w:top w:type="dxa" w:w="60"/>
              <w:left w:type="dxa" w:w="100"/>
              <w:bottom w:type="dxa" w:w="60"/>
              <w:right w:type="dxa" w:w="100"/>
            </w:tcMar>
          </w:tcPr>
          <w:p>
            <w:r>
              <w:rPr>
                <w:b/>
                <w:bCs/>
                <w:color w:val="FFFFFF"/>
                <w:sz w:val="19"/>
                <w:szCs w:val="19"/>
              </w:rPr>
              <w:t xml:space="preserve">Description</w:t>
            </w:r>
          </w:p>
        </w:tc>
        <w:tc>
          <w:tcPr>
            <w:tcW w:type="dxa" w:w="3116"/>
            <w:shd w:fill="1f2937" w:color="auto" w:val="clear"/>
            <w:tcMar>
              <w:top w:type="dxa" w:w="60"/>
              <w:left w:type="dxa" w:w="100"/>
              <w:bottom w:type="dxa" w:w="60"/>
              <w:right w:type="dxa" w:w="100"/>
            </w:tcMar>
          </w:tcPr>
          <w:p>
            <w:r>
              <w:rPr>
                <w:b/>
                <w:bCs/>
                <w:color w:val="FFFFFF"/>
                <w:sz w:val="19"/>
                <w:szCs w:val="19"/>
              </w:rPr>
              <w:t xml:space="preserve">Code</w:t>
            </w:r>
          </w:p>
        </w:tc>
      </w:tr>
      <w:tr>
        <w:trPr>
          <w:tblHeader w:val="false"/>
        </w:trPr>
        <w:tc>
          <w:tcPr>
            <w:tcW w:type="dxa" w:w="3116"/>
            <w:tcMar>
              <w:top w:type="dxa" w:w="60"/>
              <w:left w:type="dxa" w:w="100"/>
              <w:bottom w:type="dxa" w:w="60"/>
              <w:right w:type="dxa" w:w="100"/>
            </w:tcMar>
          </w:tcPr>
          <w:p>
            <w:r>
              <w:rPr>
                <w:sz w:val="21"/>
                <w:szCs w:val="21"/>
              </w:rPr>
              <w:t xml:space="preserve">1</w:t>
            </w:r>
          </w:p>
        </w:tc>
        <w:tc>
          <w:tcPr>
            <w:tcW w:type="dxa" w:w="3116"/>
            <w:tcMar>
              <w:top w:type="dxa" w:w="60"/>
              <w:left w:type="dxa" w:w="100"/>
              <w:bottom w:type="dxa" w:w="60"/>
              <w:right w:type="dxa" w:w="100"/>
            </w:tcMar>
          </w:tcPr>
          <w:p>
            <w:r>
              <w:rPr>
                <w:sz w:val="21"/>
                <w:szCs w:val="21"/>
              </w:rPr>
              <w:t xml:space="preserve">Détection de l'absence de session</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routes/dashboard.py::index</w:t>
            </w:r>
            <w:r>
              <w:rPr>
                <w:sz w:val="21"/>
                <w:szCs w:val="21"/>
              </w:rPr>
              <w:t xml:space="preserve"> (</w:t>
            </w:r>
            <w:r>
              <w:rPr>
                <w:rFonts w:ascii="Consolas" w:cs="Consolas" w:eastAsia="Consolas" w:hAnsi="Consolas"/>
                <w:color w:val="1f2937"/>
                <w:sz w:val="19"/>
                <w:szCs w:val="19"/>
              </w:rPr>
              <w:t xml:space="preserve">is_authenticated()</w:t>
            </w:r>
            <w:r>
              <w:rPr>
                <w:sz w:val="21"/>
                <w:szCs w:val="21"/>
              </w:rPr>
              <w:t xml:space="preserve">)</w:t>
            </w:r>
          </w:p>
        </w:tc>
      </w:tr>
      <w:tr>
        <w:trPr>
          <w:tblHeader w:val="false"/>
        </w:trPr>
        <w:tc>
          <w:tcPr>
            <w:tcW w:type="dxa" w:w="3116"/>
            <w:tcMar>
              <w:top w:type="dxa" w:w="60"/>
              <w:left w:type="dxa" w:w="100"/>
              <w:bottom w:type="dxa" w:w="60"/>
              <w:right w:type="dxa" w:w="100"/>
            </w:tcMar>
          </w:tcPr>
          <w:p>
            <w:r>
              <w:rPr>
                <w:sz w:val="21"/>
                <w:szCs w:val="21"/>
              </w:rPr>
              <w:t xml:space="preserve">2</w:t>
            </w:r>
          </w:p>
        </w:tc>
        <w:tc>
          <w:tcPr>
            <w:tcW w:type="dxa" w:w="3116"/>
            <w:tcMar>
              <w:top w:type="dxa" w:w="60"/>
              <w:left w:type="dxa" w:w="100"/>
              <w:bottom w:type="dxa" w:w="60"/>
              <w:right w:type="dxa" w:w="100"/>
            </w:tcMar>
          </w:tcPr>
          <w:p>
            <w:r>
              <w:rPr>
                <w:sz w:val="21"/>
                <w:szCs w:val="21"/>
              </w:rPr>
              <w:t xml:space="preserve">Génération de l'URL d'autorisation + nonce anti-rejeu</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routes/auth.py::login</w:t>
            </w:r>
          </w:p>
        </w:tc>
      </w:tr>
      <w:tr>
        <w:trPr>
          <w:tblHeader w:val="false"/>
        </w:trPr>
        <w:tc>
          <w:tcPr>
            <w:tcW w:type="dxa" w:w="3116"/>
            <w:tcMar>
              <w:top w:type="dxa" w:w="60"/>
              <w:left w:type="dxa" w:w="100"/>
              <w:bottom w:type="dxa" w:w="60"/>
              <w:right w:type="dxa" w:w="100"/>
            </w:tcMar>
          </w:tcPr>
          <w:p>
            <w:r>
              <w:rPr>
                <w:sz w:val="21"/>
                <w:szCs w:val="21"/>
              </w:rPr>
              <w:t xml:space="preserve">3</w:t>
            </w:r>
          </w:p>
        </w:tc>
        <w:tc>
          <w:tcPr>
            <w:tcW w:type="dxa" w:w="3116"/>
            <w:tcMar>
              <w:top w:type="dxa" w:w="60"/>
              <w:left w:type="dxa" w:w="100"/>
              <w:bottom w:type="dxa" w:w="60"/>
              <w:right w:type="dxa" w:w="100"/>
            </w:tcMar>
          </w:tcPr>
          <w:p>
            <w:r>
              <w:rPr>
                <w:sz w:val="21"/>
                <w:szCs w:val="21"/>
              </w:rPr>
              <w:t xml:space="preserve">Redirection vers Keycloak</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keycloak.authorize_redirect(...)</w:t>
            </w:r>
          </w:p>
        </w:tc>
      </w:tr>
      <w:tr>
        <w:trPr>
          <w:tblHeader w:val="false"/>
        </w:trPr>
        <w:tc>
          <w:tcPr>
            <w:tcW w:type="dxa" w:w="3116"/>
            <w:tcMar>
              <w:top w:type="dxa" w:w="60"/>
              <w:left w:type="dxa" w:w="100"/>
              <w:bottom w:type="dxa" w:w="60"/>
              <w:right w:type="dxa" w:w="100"/>
            </w:tcMar>
          </w:tcPr>
          <w:p>
            <w:r>
              <w:rPr>
                <w:sz w:val="21"/>
                <w:szCs w:val="21"/>
              </w:rPr>
              <w:t xml:space="preserve">4</w:t>
            </w:r>
          </w:p>
        </w:tc>
        <w:tc>
          <w:tcPr>
            <w:tcW w:type="dxa" w:w="3116"/>
            <w:tcMar>
              <w:top w:type="dxa" w:w="60"/>
              <w:left w:type="dxa" w:w="100"/>
              <w:bottom w:type="dxa" w:w="60"/>
              <w:right w:type="dxa" w:w="100"/>
            </w:tcMar>
          </w:tcPr>
          <w:p>
            <w:r>
              <w:rPr>
                <w:sz w:val="21"/>
                <w:szCs w:val="21"/>
              </w:rPr>
              <w:t xml:space="preserve">Retour sur </w:t>
            </w:r>
            <w:r>
              <w:rPr>
                <w:rFonts w:ascii="Consolas" w:cs="Consolas" w:eastAsia="Consolas" w:hAnsi="Consolas"/>
                <w:color w:val="1f2937"/>
                <w:sz w:val="19"/>
                <w:szCs w:val="19"/>
              </w:rPr>
              <w:t xml:space="preserve">/auth</w:t>
            </w:r>
            <w:r>
              <w:rPr>
                <w:sz w:val="21"/>
                <w:szCs w:val="21"/>
              </w:rPr>
              <w:t xml:space="preserve"> avec le code d'autorisation</w:t>
            </w:r>
          </w:p>
        </w:tc>
        <w:tc>
          <w:tcPr>
            <w:tcW w:type="dxa" w:w="3116"/>
            <w:tcMar>
              <w:top w:type="dxa" w:w="60"/>
              <w:left w:type="dxa" w:w="100"/>
              <w:bottom w:type="dxa" w:w="60"/>
              <w:right w:type="dxa" w:w="100"/>
            </w:tcMar>
          </w:tcPr>
          <w:p>
            <w:r>
              <w:rPr>
                <w:sz w:val="21"/>
                <w:szCs w:val="21"/>
              </w:rPr>
              <w:t xml:space="preserve">Géré automatiquement par Authlib</w:t>
            </w:r>
          </w:p>
        </w:tc>
      </w:tr>
      <w:tr>
        <w:trPr>
          <w:tblHeader w:val="false"/>
        </w:trPr>
        <w:tc>
          <w:tcPr>
            <w:tcW w:type="dxa" w:w="3116"/>
            <w:tcMar>
              <w:top w:type="dxa" w:w="60"/>
              <w:left w:type="dxa" w:w="100"/>
              <w:bottom w:type="dxa" w:w="60"/>
              <w:right w:type="dxa" w:w="100"/>
            </w:tcMar>
          </w:tcPr>
          <w:p>
            <w:r>
              <w:rPr>
                <w:sz w:val="21"/>
                <w:szCs w:val="21"/>
              </w:rPr>
              <w:t xml:space="preserve">5</w:t>
            </w:r>
          </w:p>
        </w:tc>
        <w:tc>
          <w:tcPr>
            <w:tcW w:type="dxa" w:w="3116"/>
            <w:tcMar>
              <w:top w:type="dxa" w:w="60"/>
              <w:left w:type="dxa" w:w="100"/>
              <w:bottom w:type="dxa" w:w="60"/>
              <w:right w:type="dxa" w:w="100"/>
            </w:tcMar>
          </w:tcPr>
          <w:p>
            <w:r>
              <w:rPr>
                <w:sz w:val="21"/>
                <w:szCs w:val="21"/>
              </w:rPr>
              <w:t xml:space="preserve">Échange du code contre un token</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keycloak.authorize_access_token()</w:t>
            </w:r>
          </w:p>
        </w:tc>
      </w:tr>
      <w:tr>
        <w:trPr>
          <w:tblHeader w:val="false"/>
        </w:trPr>
        <w:tc>
          <w:tcPr>
            <w:tcW w:type="dxa" w:w="3116"/>
            <w:tcMar>
              <w:top w:type="dxa" w:w="60"/>
              <w:left w:type="dxa" w:w="100"/>
              <w:bottom w:type="dxa" w:w="60"/>
              <w:right w:type="dxa" w:w="100"/>
            </w:tcMar>
          </w:tcPr>
          <w:p>
            <w:r>
              <w:rPr>
                <w:sz w:val="21"/>
                <w:szCs w:val="21"/>
              </w:rPr>
              <w:t xml:space="preserve">6</w:t>
            </w:r>
          </w:p>
        </w:tc>
        <w:tc>
          <w:tcPr>
            <w:tcW w:type="dxa" w:w="3116"/>
            <w:tcMar>
              <w:top w:type="dxa" w:w="60"/>
              <w:left w:type="dxa" w:w="100"/>
              <w:bottom w:type="dxa" w:w="60"/>
              <w:right w:type="dxa" w:w="100"/>
            </w:tcMar>
          </w:tcPr>
          <w:p>
            <w:r>
              <w:rPr>
                <w:sz w:val="21"/>
                <w:szCs w:val="21"/>
              </w:rPr>
              <w:t xml:space="preserve">Vérification du token (signature + nonce)</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keycloak.parse_id_token(token, nonce=nonce)</w:t>
            </w:r>
          </w:p>
        </w:tc>
      </w:tr>
      <w:tr>
        <w:trPr>
          <w:tblHeader w:val="false"/>
        </w:trPr>
        <w:tc>
          <w:tcPr>
            <w:tcW w:type="dxa" w:w="3116"/>
            <w:tcMar>
              <w:top w:type="dxa" w:w="60"/>
              <w:left w:type="dxa" w:w="100"/>
              <w:bottom w:type="dxa" w:w="60"/>
              <w:right w:type="dxa" w:w="100"/>
            </w:tcMar>
          </w:tcPr>
          <w:p>
            <w:r>
              <w:rPr>
                <w:sz w:val="21"/>
                <w:szCs w:val="21"/>
              </w:rPr>
              <w:t xml:space="preserve">7</w:t>
            </w:r>
          </w:p>
        </w:tc>
        <w:tc>
          <w:tcPr>
            <w:tcW w:type="dxa" w:w="3116"/>
            <w:tcMar>
              <w:top w:type="dxa" w:w="60"/>
              <w:left w:type="dxa" w:w="100"/>
              <w:bottom w:type="dxa" w:w="60"/>
              <w:right w:type="dxa" w:w="100"/>
            </w:tcMar>
          </w:tcPr>
          <w:p>
            <w:r>
              <w:rPr>
                <w:sz w:val="21"/>
                <w:szCs w:val="21"/>
              </w:rPr>
              <w:t xml:space="preserve">Création de la session applicative</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session["user"] = userinfo</w:t>
            </w:r>
          </w:p>
        </w:tc>
      </w:tr>
    </w:tbl>
    <w:p>
      <w:pPr>
        <w:spacing w:after="160"/>
      </w:pPr>
    </w:p>
    <w:p>
      <w:pPr>
        <w:pStyle w:val="Heading2"/>
        <w:spacing w:after="140" w:before="300"/>
      </w:pPr>
      <w:r>
        <w:t xml:space="preserve">RD-4 — Dictionnaire de données</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1870"/>
        <w:gridCol w:w="1870"/>
        <w:gridCol w:w="1870"/>
        <w:gridCol w:w="1870"/>
        <w:gridCol w:w="1870"/>
      </w:tblGrid>
      <w:tr>
        <w:trPr>
          <w:tblHeader/>
        </w:trPr>
        <w:tc>
          <w:tcPr>
            <w:tcW w:type="dxa" w:w="1870"/>
            <w:shd w:fill="1f2937" w:color="auto" w:val="clear"/>
            <w:tcMar>
              <w:top w:type="dxa" w:w="60"/>
              <w:left w:type="dxa" w:w="100"/>
              <w:bottom w:type="dxa" w:w="60"/>
              <w:right w:type="dxa" w:w="100"/>
            </w:tcMar>
          </w:tcPr>
          <w:p>
            <w:r>
              <w:rPr>
                <w:b/>
                <w:bCs/>
                <w:color w:val="FFFFFF"/>
                <w:sz w:val="19"/>
                <w:szCs w:val="19"/>
              </w:rPr>
              <w:t xml:space="preserve">Champ</w:t>
            </w:r>
          </w:p>
        </w:tc>
        <w:tc>
          <w:tcPr>
            <w:tcW w:type="dxa" w:w="1870"/>
            <w:shd w:fill="1f2937" w:color="auto" w:val="clear"/>
            <w:tcMar>
              <w:top w:type="dxa" w:w="60"/>
              <w:left w:type="dxa" w:w="100"/>
              <w:bottom w:type="dxa" w:w="60"/>
              <w:right w:type="dxa" w:w="100"/>
            </w:tcMar>
          </w:tcPr>
          <w:p>
            <w:r>
              <w:rPr>
                <w:b/>
                <w:bCs/>
                <w:color w:val="FFFFFF"/>
                <w:sz w:val="19"/>
                <w:szCs w:val="19"/>
              </w:rPr>
              <w:t xml:space="preserve">Table</w:t>
            </w:r>
          </w:p>
        </w:tc>
        <w:tc>
          <w:tcPr>
            <w:tcW w:type="dxa" w:w="1870"/>
            <w:shd w:fill="1f2937" w:color="auto" w:val="clear"/>
            <w:tcMar>
              <w:top w:type="dxa" w:w="60"/>
              <w:left w:type="dxa" w:w="100"/>
              <w:bottom w:type="dxa" w:w="60"/>
              <w:right w:type="dxa" w:w="100"/>
            </w:tcMar>
          </w:tcPr>
          <w:p>
            <w:r>
              <w:rPr>
                <w:b/>
                <w:bCs/>
                <w:color w:val="FFFFFF"/>
                <w:sz w:val="19"/>
                <w:szCs w:val="19"/>
              </w:rPr>
              <w:t xml:space="preserve">Type SQL</w:t>
            </w:r>
          </w:p>
        </w:tc>
        <w:tc>
          <w:tcPr>
            <w:tcW w:type="dxa" w:w="1870"/>
            <w:shd w:fill="1f2937" w:color="auto" w:val="clear"/>
            <w:tcMar>
              <w:top w:type="dxa" w:w="60"/>
              <w:left w:type="dxa" w:w="100"/>
              <w:bottom w:type="dxa" w:w="60"/>
              <w:right w:type="dxa" w:w="100"/>
            </w:tcMar>
          </w:tcPr>
          <w:p>
            <w:r>
              <w:rPr>
                <w:b/>
                <w:bCs/>
                <w:color w:val="FFFFFF"/>
                <w:sz w:val="19"/>
                <w:szCs w:val="19"/>
              </w:rPr>
              <w:t xml:space="preserve">Source</w:t>
            </w:r>
          </w:p>
        </w:tc>
        <w:tc>
          <w:tcPr>
            <w:tcW w:type="dxa" w:w="1870"/>
            <w:shd w:fill="1f2937" w:color="auto" w:val="clear"/>
            <w:tcMar>
              <w:top w:type="dxa" w:w="60"/>
              <w:left w:type="dxa" w:w="100"/>
              <w:bottom w:type="dxa" w:w="60"/>
              <w:right w:type="dxa" w:w="100"/>
            </w:tcMar>
          </w:tcPr>
          <w:p>
            <w:r>
              <w:rPr>
                <w:b/>
                <w:bCs/>
                <w:color w:val="FFFFFF"/>
                <w:sz w:val="19"/>
                <w:szCs w:val="19"/>
              </w:rPr>
              <w:t xml:space="preserve">Description</w:t>
            </w:r>
          </w:p>
        </w:tc>
      </w:tr>
      <w:tr>
        <w:trPr>
          <w:tblHeader w:val="false"/>
        </w:trPr>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id</w:t>
            </w:r>
          </w:p>
        </w:tc>
        <w:tc>
          <w:tcPr>
            <w:tcW w:type="dxa" w:w="1870"/>
            <w:tcMar>
              <w:top w:type="dxa" w:w="60"/>
              <w:left w:type="dxa" w:w="100"/>
              <w:bottom w:type="dxa" w:w="60"/>
              <w:right w:type="dxa" w:w="100"/>
            </w:tcMar>
          </w:tcPr>
          <w:p>
            <w:r>
              <w:rPr>
                <w:sz w:val="21"/>
                <w:szCs w:val="21"/>
              </w:rPr>
              <w:t xml:space="preserve">toutes</w:t>
            </w:r>
          </w:p>
        </w:tc>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INT UNSIGNED AUTO_INCREMENT</w:t>
            </w:r>
          </w:p>
        </w:tc>
        <w:tc>
          <w:tcPr>
            <w:tcW w:type="dxa" w:w="1870"/>
            <w:tcMar>
              <w:top w:type="dxa" w:w="60"/>
              <w:left w:type="dxa" w:w="100"/>
              <w:bottom w:type="dxa" w:w="60"/>
              <w:right w:type="dxa" w:w="100"/>
            </w:tcMar>
          </w:tcPr>
          <w:p>
            <w:r>
              <w:rPr>
                <w:sz w:val="21"/>
                <w:szCs w:val="21"/>
              </w:rPr>
              <w:t xml:space="preserve">MariaDB</w:t>
            </w:r>
          </w:p>
        </w:tc>
        <w:tc>
          <w:tcPr>
            <w:tcW w:type="dxa" w:w="1870"/>
            <w:tcMar>
              <w:top w:type="dxa" w:w="60"/>
              <w:left w:type="dxa" w:w="100"/>
              <w:bottom w:type="dxa" w:w="60"/>
              <w:right w:type="dxa" w:w="100"/>
            </w:tcMar>
          </w:tcPr>
          <w:p>
            <w:r>
              <w:rPr>
                <w:sz w:val="21"/>
                <w:szCs w:val="21"/>
              </w:rPr>
              <w:t xml:space="preserve">Clé primaire</w:t>
            </w:r>
          </w:p>
        </w:tc>
      </w:tr>
      <w:tr>
        <w:trPr>
          <w:tblHeader w:val="false"/>
        </w:trPr>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titre</w:t>
            </w:r>
          </w:p>
        </w:tc>
        <w:tc>
          <w:tcPr>
            <w:tcW w:type="dxa" w:w="1870"/>
            <w:tcMar>
              <w:top w:type="dxa" w:w="60"/>
              <w:left w:type="dxa" w:w="100"/>
              <w:bottom w:type="dxa" w:w="60"/>
              <w:right w:type="dxa" w:w="100"/>
            </w:tcMar>
          </w:tcPr>
          <w:p>
            <w:r>
              <w:rPr>
                <w:sz w:val="21"/>
                <w:szCs w:val="21"/>
              </w:rPr>
              <w:t xml:space="preserve">annonces, evenements</w:t>
            </w:r>
          </w:p>
        </w:tc>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VARCHAR(150)</w:t>
            </w:r>
          </w:p>
        </w:tc>
        <w:tc>
          <w:tcPr>
            <w:tcW w:type="dxa" w:w="1870"/>
            <w:tcMar>
              <w:top w:type="dxa" w:w="60"/>
              <w:left w:type="dxa" w:w="100"/>
              <w:bottom w:type="dxa" w:w="60"/>
              <w:right w:type="dxa" w:w="100"/>
            </w:tcMar>
          </w:tcPr>
          <w:p>
            <w:r>
              <w:rPr>
                <w:sz w:val="21"/>
                <w:szCs w:val="21"/>
              </w:rPr>
              <w:t xml:space="preserve">Saisie admin</w:t>
            </w:r>
          </w:p>
        </w:tc>
        <w:tc>
          <w:tcPr>
            <w:tcW w:type="dxa" w:w="1870"/>
            <w:tcMar>
              <w:top w:type="dxa" w:w="60"/>
              <w:left w:type="dxa" w:w="100"/>
              <w:bottom w:type="dxa" w:w="60"/>
              <w:right w:type="dxa" w:w="100"/>
            </w:tcMar>
          </w:tcPr>
          <w:p>
            <w:r>
              <w:rPr>
                <w:sz w:val="21"/>
                <w:szCs w:val="21"/>
              </w:rPr>
              <w:t xml:space="preserve">Titre affiché</w:t>
            </w:r>
          </w:p>
        </w:tc>
      </w:tr>
      <w:tr>
        <w:trPr>
          <w:tblHeader w:val="false"/>
        </w:trPr>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epinglee</w:t>
            </w:r>
          </w:p>
        </w:tc>
        <w:tc>
          <w:tcPr>
            <w:tcW w:type="dxa" w:w="1870"/>
            <w:tcMar>
              <w:top w:type="dxa" w:w="60"/>
              <w:left w:type="dxa" w:w="100"/>
              <w:bottom w:type="dxa" w:w="60"/>
              <w:right w:type="dxa" w:w="100"/>
            </w:tcMar>
          </w:tcPr>
          <w:p>
            <w:r>
              <w:rPr>
                <w:sz w:val="21"/>
                <w:szCs w:val="21"/>
              </w:rPr>
              <w:t xml:space="preserve">annonces</w:t>
            </w:r>
          </w:p>
        </w:tc>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TINYINT(1)</w:t>
            </w:r>
          </w:p>
        </w:tc>
        <w:tc>
          <w:tcPr>
            <w:tcW w:type="dxa" w:w="1870"/>
            <w:tcMar>
              <w:top w:type="dxa" w:w="60"/>
              <w:left w:type="dxa" w:w="100"/>
              <w:bottom w:type="dxa" w:w="60"/>
              <w:right w:type="dxa" w:w="100"/>
            </w:tcMar>
          </w:tcPr>
          <w:p>
            <w:r>
              <w:rPr>
                <w:sz w:val="21"/>
                <w:szCs w:val="21"/>
              </w:rPr>
              <w:t xml:space="preserve">Saisie admin</w:t>
            </w:r>
          </w:p>
        </w:tc>
        <w:tc>
          <w:tcPr>
            <w:tcW w:type="dxa" w:w="1870"/>
            <w:tcMar>
              <w:top w:type="dxa" w:w="60"/>
              <w:left w:type="dxa" w:w="100"/>
              <w:bottom w:type="dxa" w:w="60"/>
              <w:right w:type="dxa" w:w="100"/>
            </w:tcMar>
          </w:tcPr>
          <w:p>
            <w:r>
              <w:rPr>
                <w:sz w:val="21"/>
                <w:szCs w:val="21"/>
              </w:rPr>
              <w:t xml:space="preserve">Priorité d'affichage</w:t>
            </w:r>
          </w:p>
        </w:tc>
      </w:tr>
      <w:tr>
        <w:trPr>
          <w:tblHeader w:val="false"/>
        </w:trPr>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auteur_sub</w:t>
            </w:r>
            <w:r>
              <w:rPr>
                <w:sz w:val="21"/>
                <w:szCs w:val="21"/>
              </w:rPr>
              <w:t xml:space="preserve"> / </w:t>
            </w:r>
            <w:r>
              <w:rPr>
                <w:rFonts w:ascii="Consolas" w:cs="Consolas" w:eastAsia="Consolas" w:hAnsi="Consolas"/>
                <w:color w:val="1f2937"/>
                <w:sz w:val="19"/>
                <w:szCs w:val="19"/>
              </w:rPr>
              <w:t xml:space="preserve">uploader_sub</w:t>
            </w:r>
            <w:r>
              <w:rPr>
                <w:sz w:val="21"/>
                <w:szCs w:val="21"/>
              </w:rPr>
              <w:t xml:space="preserve"> / </w:t>
            </w:r>
            <w:r>
              <w:rPr>
                <w:rFonts w:ascii="Consolas" w:cs="Consolas" w:eastAsia="Consolas" w:hAnsi="Consolas"/>
                <w:color w:val="1f2937"/>
                <w:sz w:val="19"/>
                <w:szCs w:val="19"/>
              </w:rPr>
              <w:t xml:space="preserve">createur_sub</w:t>
            </w:r>
          </w:p>
        </w:tc>
        <w:tc>
          <w:tcPr>
            <w:tcW w:type="dxa" w:w="1870"/>
            <w:tcMar>
              <w:top w:type="dxa" w:w="60"/>
              <w:left w:type="dxa" w:w="100"/>
              <w:bottom w:type="dxa" w:w="60"/>
              <w:right w:type="dxa" w:w="100"/>
            </w:tcMar>
          </w:tcPr>
          <w:p>
            <w:r>
              <w:rPr>
                <w:sz w:val="21"/>
                <w:szCs w:val="21"/>
              </w:rPr>
              <w:t xml:space="preserve">annonces, fichiers, evenements</w:t>
            </w:r>
          </w:p>
        </w:tc>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VARCHAR(64)</w:t>
            </w:r>
          </w:p>
        </w:tc>
        <w:tc>
          <w:tcPr>
            <w:tcW w:type="dxa" w:w="1870"/>
            <w:tcMar>
              <w:top w:type="dxa" w:w="60"/>
              <w:left w:type="dxa" w:w="100"/>
              <w:bottom w:type="dxa" w:w="60"/>
              <w:right w:type="dxa" w:w="100"/>
            </w:tcMar>
          </w:tcPr>
          <w:p>
            <w:r>
              <w:rPr>
                <w:sz w:val="21"/>
                <w:szCs w:val="21"/>
              </w:rPr>
              <w:t xml:space="preserve">Claim </w:t>
            </w:r>
            <w:r>
              <w:rPr>
                <w:rFonts w:ascii="Consolas" w:cs="Consolas" w:eastAsia="Consolas" w:hAnsi="Consolas"/>
                <w:color w:val="1f2937"/>
                <w:sz w:val="19"/>
                <w:szCs w:val="19"/>
              </w:rPr>
              <w:t xml:space="preserve">sub</w:t>
            </w:r>
            <w:r>
              <w:rPr>
                <w:sz w:val="21"/>
                <w:szCs w:val="21"/>
              </w:rPr>
              <w:t xml:space="preserve"> du token OIDC</w:t>
            </w:r>
          </w:p>
        </w:tc>
        <w:tc>
          <w:tcPr>
            <w:tcW w:type="dxa" w:w="1870"/>
            <w:tcMar>
              <w:top w:type="dxa" w:w="60"/>
              <w:left w:type="dxa" w:w="100"/>
              <w:bottom w:type="dxa" w:w="60"/>
              <w:right w:type="dxa" w:w="100"/>
            </w:tcMar>
          </w:tcPr>
          <w:p>
            <w:r>
              <w:rPr>
                <w:sz w:val="21"/>
                <w:szCs w:val="21"/>
              </w:rPr>
              <w:t xml:space="preserve">Référence utilisateur (pas de doublon des données Keycloak)</w:t>
            </w:r>
          </w:p>
        </w:tc>
      </w:tr>
      <w:tr>
        <w:trPr>
          <w:tblHeader w:val="false"/>
        </w:trPr>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nom_stocke</w:t>
            </w:r>
          </w:p>
        </w:tc>
        <w:tc>
          <w:tcPr>
            <w:tcW w:type="dxa" w:w="1870"/>
            <w:tcMar>
              <w:top w:type="dxa" w:w="60"/>
              <w:left w:type="dxa" w:w="100"/>
              <w:bottom w:type="dxa" w:w="60"/>
              <w:right w:type="dxa" w:w="100"/>
            </w:tcMar>
          </w:tcPr>
          <w:p>
            <w:r>
              <w:rPr>
                <w:sz w:val="21"/>
                <w:szCs w:val="21"/>
              </w:rPr>
              <w:t xml:space="preserve">fichiers</w:t>
            </w:r>
          </w:p>
        </w:tc>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VARCHAR(64)</w:t>
            </w:r>
          </w:p>
        </w:tc>
        <w:tc>
          <w:tcPr>
            <w:tcW w:type="dxa" w:w="1870"/>
            <w:tcMar>
              <w:top w:type="dxa" w:w="60"/>
              <w:left w:type="dxa" w:w="100"/>
              <w:bottom w:type="dxa" w:w="60"/>
              <w:right w:type="dxa" w:w="100"/>
            </w:tcMar>
          </w:tcPr>
          <w:p>
            <w:r>
              <w:rPr>
                <w:sz w:val="21"/>
                <w:szCs w:val="21"/>
              </w:rPr>
              <w:t xml:space="preserve">Généré (UUID4)</w:t>
            </w:r>
          </w:p>
        </w:tc>
        <w:tc>
          <w:tcPr>
            <w:tcW w:type="dxa" w:w="1870"/>
            <w:tcMar>
              <w:top w:type="dxa" w:w="60"/>
              <w:left w:type="dxa" w:w="100"/>
              <w:bottom w:type="dxa" w:w="60"/>
              <w:right w:type="dxa" w:w="100"/>
            </w:tcMar>
          </w:tcPr>
          <w:p>
            <w:r>
              <w:rPr>
                <w:sz w:val="21"/>
                <w:szCs w:val="21"/>
              </w:rPr>
              <w:t xml:space="preserve">Nom réel sur disque, anti path-traversal</w:t>
            </w:r>
          </w:p>
        </w:tc>
      </w:tr>
      <w:tr>
        <w:trPr>
          <w:tblHeader w:val="false"/>
        </w:trPr>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taille_octets</w:t>
            </w:r>
          </w:p>
        </w:tc>
        <w:tc>
          <w:tcPr>
            <w:tcW w:type="dxa" w:w="1870"/>
            <w:tcMar>
              <w:top w:type="dxa" w:w="60"/>
              <w:left w:type="dxa" w:w="100"/>
              <w:bottom w:type="dxa" w:w="60"/>
              <w:right w:type="dxa" w:w="100"/>
            </w:tcMar>
          </w:tcPr>
          <w:p>
            <w:r>
              <w:rPr>
                <w:sz w:val="21"/>
                <w:szCs w:val="21"/>
              </w:rPr>
              <w:t xml:space="preserve">fichiers</w:t>
            </w:r>
          </w:p>
        </w:tc>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BIGINT UNSIGNED</w:t>
            </w:r>
          </w:p>
        </w:tc>
        <w:tc>
          <w:tcPr>
            <w:tcW w:type="dxa" w:w="1870"/>
            <w:tcMar>
              <w:top w:type="dxa" w:w="60"/>
              <w:left w:type="dxa" w:w="100"/>
              <w:bottom w:type="dxa" w:w="60"/>
              <w:right w:type="dxa" w:w="100"/>
            </w:tcMar>
          </w:tcPr>
          <w:p>
            <w:r>
              <w:rPr>
                <w:sz w:val="21"/>
                <w:szCs w:val="21"/>
              </w:rPr>
              <w:t xml:space="preserve">Calculé à l'upload</w:t>
            </w:r>
          </w:p>
        </w:tc>
        <w:tc>
          <w:tcPr>
            <w:tcW w:type="dxa" w:w="1870"/>
            <w:tcMar>
              <w:top w:type="dxa" w:w="60"/>
              <w:left w:type="dxa" w:w="100"/>
              <w:bottom w:type="dxa" w:w="60"/>
              <w:right w:type="dxa" w:w="100"/>
            </w:tcMar>
          </w:tcPr>
          <w:p>
            <w:r>
              <w:rPr>
                <w:sz w:val="21"/>
                <w:szCs w:val="21"/>
              </w:rPr>
              <w:t xml:space="preserve">Taille du fichier</w:t>
            </w:r>
          </w:p>
        </w:tc>
      </w:tr>
      <w:tr>
        <w:trPr>
          <w:tblHeader w:val="false"/>
        </w:trPr>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action</w:t>
            </w:r>
            <w:r>
              <w:rPr>
                <w:sz w:val="21"/>
                <w:szCs w:val="21"/>
              </w:rPr>
              <w:t xml:space="preserve"> / </w:t>
            </w:r>
            <w:r>
              <w:rPr>
                <w:rFonts w:ascii="Consolas" w:cs="Consolas" w:eastAsia="Consolas" w:hAnsi="Consolas"/>
                <w:color w:val="1f2937"/>
                <w:sz w:val="19"/>
                <w:szCs w:val="19"/>
              </w:rPr>
              <w:t xml:space="preserve">statut</w:t>
            </w:r>
          </w:p>
        </w:tc>
        <w:tc>
          <w:tcPr>
            <w:tcW w:type="dxa" w:w="1870"/>
            <w:tcMar>
              <w:top w:type="dxa" w:w="60"/>
              <w:left w:type="dxa" w:w="100"/>
              <w:bottom w:type="dxa" w:w="60"/>
              <w:right w:type="dxa" w:w="100"/>
            </w:tcMar>
          </w:tcPr>
          <w:p>
            <w:r>
              <w:rPr>
                <w:sz w:val="21"/>
                <w:szCs w:val="21"/>
              </w:rPr>
              <w:t xml:space="preserve">audit_log</w:t>
            </w:r>
          </w:p>
        </w:tc>
        <w:tc>
          <w:tcPr>
            <w:tcW w:type="dxa" w:w="1870"/>
            <w:tcMar>
              <w:top w:type="dxa" w:w="60"/>
              <w:left w:type="dxa" w:w="100"/>
              <w:bottom w:type="dxa" w:w="60"/>
              <w:right w:type="dxa" w:w="100"/>
            </w:tcMar>
          </w:tcPr>
          <w:p>
            <w:r>
              <w:rPr>
                <w:rFonts w:ascii="Consolas" w:cs="Consolas" w:eastAsia="Consolas" w:hAnsi="Consolas"/>
                <w:color w:val="1f2937"/>
                <w:sz w:val="19"/>
                <w:szCs w:val="19"/>
              </w:rPr>
              <w:t xml:space="preserve">VARCHAR(50)</w:t>
            </w:r>
            <w:r>
              <w:rPr>
                <w:sz w:val="21"/>
                <w:szCs w:val="21"/>
              </w:rPr>
              <w:t xml:space="preserve"> / </w:t>
            </w:r>
            <w:r>
              <w:rPr>
                <w:rFonts w:ascii="Consolas" w:cs="Consolas" w:eastAsia="Consolas" w:hAnsi="Consolas"/>
                <w:color w:val="1f2937"/>
                <w:sz w:val="19"/>
                <w:szCs w:val="19"/>
              </w:rPr>
              <w:t xml:space="preserve">VARCHAR(20)</w:t>
            </w:r>
          </w:p>
        </w:tc>
        <w:tc>
          <w:tcPr>
            <w:tcW w:type="dxa" w:w="1870"/>
            <w:tcMar>
              <w:top w:type="dxa" w:w="60"/>
              <w:left w:type="dxa" w:w="100"/>
              <w:bottom w:type="dxa" w:w="60"/>
              <w:right w:type="dxa" w:w="100"/>
            </w:tcMar>
          </w:tcPr>
          <w:p>
            <w:r>
              <w:rPr>
                <w:sz w:val="21"/>
                <w:szCs w:val="21"/>
              </w:rPr>
              <w:t xml:space="preserve">Généré par les services</w:t>
            </w:r>
          </w:p>
        </w:tc>
        <w:tc>
          <w:tcPr>
            <w:tcW w:type="dxa" w:w="1870"/>
            <w:tcMar>
              <w:top w:type="dxa" w:w="60"/>
              <w:left w:type="dxa" w:w="100"/>
              <w:bottom w:type="dxa" w:w="60"/>
              <w:right w:type="dxa" w:w="100"/>
            </w:tcMar>
          </w:tcPr>
          <w:p>
            <w:r>
              <w:rPr>
                <w:sz w:val="21"/>
                <w:szCs w:val="21"/>
              </w:rPr>
              <w:t xml:space="preserve">Traçabilité (ex. </w:t>
            </w:r>
            <w:r>
              <w:rPr>
                <w:rFonts w:ascii="Consolas" w:cs="Consolas" w:eastAsia="Consolas" w:hAnsi="Consolas"/>
                <w:color w:val="1f2937"/>
                <w:sz w:val="19"/>
                <w:szCs w:val="19"/>
              </w:rPr>
              <w:t xml:space="preserve">CREATE_ANNONCE</w:t>
            </w:r>
            <w:r>
              <w:rPr>
                <w:sz w:val="21"/>
                <w:szCs w:val="21"/>
              </w:rPr>
              <w:t xml:space="preserve"> / </w:t>
            </w:r>
            <w:r>
              <w:rPr>
                <w:rFonts w:ascii="Consolas" w:cs="Consolas" w:eastAsia="Consolas" w:hAnsi="Consolas"/>
                <w:color w:val="1f2937"/>
                <w:sz w:val="19"/>
                <w:szCs w:val="19"/>
              </w:rPr>
              <w:t xml:space="preserve">SUCCESS</w:t>
            </w:r>
            <w:r>
              <w:rPr>
                <w:sz w:val="21"/>
                <w:szCs w:val="21"/>
              </w:rPr>
              <w:t xml:space="preserve">)</w:t>
            </w:r>
          </w:p>
        </w:tc>
      </w:tr>
    </w:tbl>
    <w:p>
      <w:pPr>
        <w:spacing w:after="160"/>
      </w:pPr>
    </w:p>
    <w:p>
      <w:pPr>
        <w:pStyle w:val="Heading2"/>
        <w:spacing w:after="140" w:before="300"/>
      </w:pPr>
      <w:r>
        <w:t xml:space="preserve">RD-5 — Table de correspondance claims JWT ↔ champs applicatifs</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3116"/>
        <w:gridCol w:w="3116"/>
        <w:gridCol w:w="3116"/>
      </w:tblGrid>
      <w:tr>
        <w:trPr>
          <w:tblHeader/>
        </w:trPr>
        <w:tc>
          <w:tcPr>
            <w:tcW w:type="dxa" w:w="3116"/>
            <w:shd w:fill="1f2937" w:color="auto" w:val="clear"/>
            <w:tcMar>
              <w:top w:type="dxa" w:w="60"/>
              <w:left w:type="dxa" w:w="100"/>
              <w:bottom w:type="dxa" w:w="60"/>
              <w:right w:type="dxa" w:w="100"/>
            </w:tcMar>
          </w:tcPr>
          <w:p>
            <w:r>
              <w:rPr>
                <w:b/>
                <w:bCs/>
                <w:color w:val="FFFFFF"/>
                <w:sz w:val="19"/>
                <w:szCs w:val="19"/>
              </w:rPr>
              <w:t xml:space="preserve">Claim JWT (Keycloak)</w:t>
            </w:r>
          </w:p>
        </w:tc>
        <w:tc>
          <w:tcPr>
            <w:tcW w:type="dxa" w:w="3116"/>
            <w:shd w:fill="1f2937" w:color="auto" w:val="clear"/>
            <w:tcMar>
              <w:top w:type="dxa" w:w="60"/>
              <w:left w:type="dxa" w:w="100"/>
              <w:bottom w:type="dxa" w:w="60"/>
              <w:right w:type="dxa" w:w="100"/>
            </w:tcMar>
          </w:tcPr>
          <w:p>
            <w:r>
              <w:rPr>
                <w:b/>
                <w:bCs/>
                <w:color w:val="FFFFFF"/>
                <w:sz w:val="19"/>
                <w:szCs w:val="19"/>
              </w:rPr>
              <w:t xml:space="preserve">Champ applicatif</w:t>
            </w:r>
          </w:p>
        </w:tc>
        <w:tc>
          <w:tcPr>
            <w:tcW w:type="dxa" w:w="3116"/>
            <w:shd w:fill="1f2937" w:color="auto" w:val="clear"/>
            <w:tcMar>
              <w:top w:type="dxa" w:w="60"/>
              <w:left w:type="dxa" w:w="100"/>
              <w:bottom w:type="dxa" w:w="60"/>
              <w:right w:type="dxa" w:w="100"/>
            </w:tcMar>
          </w:tcPr>
          <w:p>
            <w:r>
              <w:rPr>
                <w:b/>
                <w:bCs/>
                <w:color w:val="FFFFFF"/>
                <w:sz w:val="19"/>
                <w:szCs w:val="19"/>
              </w:rPr>
              <w:t xml:space="preserve">Utilisation</w:t>
            </w:r>
          </w:p>
        </w:tc>
      </w:tr>
      <w:tr>
        <w:trPr>
          <w:tblHeader w:val="false"/>
        </w:trPr>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sub</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session["user"]["sub"]</w:t>
            </w:r>
            <w:r>
              <w:rPr>
                <w:sz w:val="21"/>
                <w:szCs w:val="21"/>
              </w:rPr>
              <w:t xml:space="preserve">, colonnes </w:t>
            </w:r>
            <w:r>
              <w:rPr>
                <w:rFonts w:ascii="Consolas" w:cs="Consolas" w:eastAsia="Consolas" w:hAnsi="Consolas"/>
                <w:color w:val="1f2937"/>
                <w:sz w:val="19"/>
                <w:szCs w:val="19"/>
              </w:rPr>
              <w:t xml:space="preserve">*_sub</w:t>
            </w:r>
            <w:r>
              <w:rPr>
                <w:sz w:val="21"/>
                <w:szCs w:val="21"/>
              </w:rPr>
              <w:t xml:space="preserve"> en base</w:t>
            </w:r>
          </w:p>
        </w:tc>
        <w:tc>
          <w:tcPr>
            <w:tcW w:type="dxa" w:w="3116"/>
            <w:tcMar>
              <w:top w:type="dxa" w:w="60"/>
              <w:left w:type="dxa" w:w="100"/>
              <w:bottom w:type="dxa" w:w="60"/>
              <w:right w:type="dxa" w:w="100"/>
            </w:tcMar>
          </w:tcPr>
          <w:p>
            <w:r>
              <w:rPr>
                <w:sz w:val="21"/>
                <w:szCs w:val="21"/>
              </w:rPr>
              <w:t xml:space="preserve">Identifiant utilisateur unique et stable</w:t>
            </w:r>
          </w:p>
        </w:tc>
      </w:tr>
      <w:tr>
        <w:trPr>
          <w:tblHeader w:val="false"/>
        </w:trPr>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preferred_username</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session["user"]["preferred_username"]</w:t>
            </w:r>
          </w:p>
        </w:tc>
        <w:tc>
          <w:tcPr>
            <w:tcW w:type="dxa" w:w="3116"/>
            <w:tcMar>
              <w:top w:type="dxa" w:w="60"/>
              <w:left w:type="dxa" w:w="100"/>
              <w:bottom w:type="dxa" w:w="60"/>
              <w:right w:type="dxa" w:w="100"/>
            </w:tcMar>
          </w:tcPr>
          <w:p>
            <w:r>
              <w:rPr>
                <w:sz w:val="21"/>
                <w:szCs w:val="21"/>
              </w:rPr>
              <w:t xml:space="preserve">Affichage du nom d'utilisateur (template </w:t>
            </w:r>
            <w:r>
              <w:rPr>
                <w:rFonts w:ascii="Consolas" w:cs="Consolas" w:eastAsia="Consolas" w:hAnsi="Consolas"/>
                <w:color w:val="1f2937"/>
                <w:sz w:val="19"/>
                <w:szCs w:val="19"/>
              </w:rPr>
              <w:t xml:space="preserve">index.html</w:t>
            </w:r>
            <w:r>
              <w:rPr>
                <w:sz w:val="21"/>
                <w:szCs w:val="21"/>
              </w:rPr>
              <w:t xml:space="preserve">)</w:t>
            </w:r>
          </w:p>
        </w:tc>
      </w:tr>
      <w:tr>
        <w:trPr>
          <w:tblHeader w:val="false"/>
        </w:trPr>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email</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session["user"]["email"]</w:t>
            </w:r>
          </w:p>
        </w:tc>
        <w:tc>
          <w:tcPr>
            <w:tcW w:type="dxa" w:w="3116"/>
            <w:tcMar>
              <w:top w:type="dxa" w:w="60"/>
              <w:left w:type="dxa" w:w="100"/>
              <w:bottom w:type="dxa" w:w="60"/>
              <w:right w:type="dxa" w:w="100"/>
            </w:tcMar>
          </w:tcPr>
          <w:p>
            <w:r>
              <w:rPr>
                <w:sz w:val="21"/>
                <w:szCs w:val="21"/>
              </w:rPr>
              <w:t xml:space="preserve">Non utilisé actuellement (disponible pour évolutions, ex. notifications)</w:t>
            </w:r>
          </w:p>
        </w:tc>
      </w:tr>
      <w:tr>
        <w:trPr>
          <w:tblHeader w:val="false"/>
        </w:trPr>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groups</w:t>
            </w:r>
          </w:p>
        </w:tc>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session["user"]["groups"]</w:t>
            </w:r>
          </w:p>
        </w:tc>
        <w:tc>
          <w:tcPr>
            <w:tcW w:type="dxa" w:w="3116"/>
            <w:tcMar>
              <w:top w:type="dxa" w:w="60"/>
              <w:left w:type="dxa" w:w="100"/>
              <w:bottom w:type="dxa" w:w="60"/>
              <w:right w:type="dxa" w:w="100"/>
            </w:tcMar>
          </w:tcPr>
          <w:p>
            <w:r>
              <w:rPr>
                <w:sz w:val="21"/>
                <w:szCs w:val="21"/>
              </w:rPr>
              <w:t xml:space="preserve">Contrôle d'accès (</w:t>
            </w:r>
            <w:r>
              <w:rPr>
                <w:rFonts w:ascii="Consolas" w:cs="Consolas" w:eastAsia="Consolas" w:hAnsi="Consolas"/>
                <w:color w:val="1f2937"/>
                <w:sz w:val="19"/>
                <w:szCs w:val="19"/>
              </w:rPr>
              <w:t xml:space="preserve">/admin</w:t>
            </w:r>
            <w:r>
              <w:rPr>
                <w:sz w:val="21"/>
                <w:szCs w:val="21"/>
              </w:rPr>
              <w:t xml:space="preserve"> → </w:t>
            </w:r>
            <w:r>
              <w:rPr>
                <w:rFonts w:ascii="Consolas" w:cs="Consolas" w:eastAsia="Consolas" w:hAnsi="Consolas"/>
                <w:color w:val="1f2937"/>
                <w:sz w:val="19"/>
                <w:szCs w:val="19"/>
              </w:rPr>
              <w:t xml:space="preserve">is_admin()</w:t>
            </w:r>
            <w:r>
              <w:rPr>
                <w:sz w:val="21"/>
                <w:szCs w:val="21"/>
              </w:rPr>
              <w:t xml:space="preserve">)</w:t>
            </w:r>
          </w:p>
        </w:tc>
      </w:tr>
      <w:tr>
        <w:trPr>
          <w:tblHeader w:val="false"/>
        </w:trPr>
        <w:tc>
          <w:tcPr>
            <w:tcW w:type="dxa" w:w="3116"/>
            <w:tcMar>
              <w:top w:type="dxa" w:w="60"/>
              <w:left w:type="dxa" w:w="100"/>
              <w:bottom w:type="dxa" w:w="60"/>
              <w:right w:type="dxa" w:w="100"/>
            </w:tcMar>
          </w:tcPr>
          <w:p>
            <w:r>
              <w:rPr>
                <w:rFonts w:ascii="Consolas" w:cs="Consolas" w:eastAsia="Consolas" w:hAnsi="Consolas"/>
                <w:color w:val="1f2937"/>
                <w:sz w:val="19"/>
                <w:szCs w:val="19"/>
              </w:rPr>
              <w:t xml:space="preserve">iat</w:t>
            </w:r>
            <w:r>
              <w:rPr>
                <w:sz w:val="21"/>
                <w:szCs w:val="21"/>
              </w:rPr>
              <w:t xml:space="preserve">, </w:t>
            </w:r>
            <w:r>
              <w:rPr>
                <w:rFonts w:ascii="Consolas" w:cs="Consolas" w:eastAsia="Consolas" w:hAnsi="Consolas"/>
                <w:color w:val="1f2937"/>
                <w:sz w:val="19"/>
                <w:szCs w:val="19"/>
              </w:rPr>
              <w:t xml:space="preserve">exp</w:t>
            </w:r>
            <w:r>
              <w:rPr>
                <w:sz w:val="21"/>
                <w:szCs w:val="21"/>
              </w:rPr>
              <w:t xml:space="preserve">, </w:t>
            </w:r>
            <w:r>
              <w:rPr>
                <w:rFonts w:ascii="Consolas" w:cs="Consolas" w:eastAsia="Consolas" w:hAnsi="Consolas"/>
                <w:color w:val="1f2937"/>
                <w:sz w:val="19"/>
                <w:szCs w:val="19"/>
              </w:rPr>
              <w:t xml:space="preserve">iss</w:t>
            </w:r>
          </w:p>
        </w:tc>
        <w:tc>
          <w:tcPr>
            <w:tcW w:type="dxa" w:w="3116"/>
            <w:tcMar>
              <w:top w:type="dxa" w:w="60"/>
              <w:left w:type="dxa" w:w="100"/>
              <w:bottom w:type="dxa" w:w="60"/>
              <w:right w:type="dxa" w:w="100"/>
            </w:tcMar>
          </w:tcPr>
          <w:p>
            <w:r>
              <w:rPr>
                <w:sz w:val="21"/>
                <w:szCs w:val="21"/>
              </w:rPr>
              <w:t xml:space="preserve">Vérifiés automatiquement par Authlib</w:t>
            </w:r>
          </w:p>
        </w:tc>
        <w:tc>
          <w:tcPr>
            <w:tcW w:type="dxa" w:w="3116"/>
            <w:tcMar>
              <w:top w:type="dxa" w:w="60"/>
              <w:left w:type="dxa" w:w="100"/>
              <w:bottom w:type="dxa" w:w="60"/>
              <w:right w:type="dxa" w:w="100"/>
            </w:tcMar>
          </w:tcPr>
          <w:p>
            <w:r>
              <w:rPr>
                <w:sz w:val="21"/>
                <w:szCs w:val="21"/>
              </w:rPr>
              <w:t xml:space="preserve">Validité temporelle et émetteur du token</w:t>
            </w:r>
          </w:p>
        </w:tc>
      </w:tr>
    </w:tbl>
    <w:p>
      <w:pPr>
        <w:spacing w:after="160"/>
      </w:pPr>
    </w:p>
    <w:p>
      <w:pPr>
        <w:spacing w:after="120"/>
      </w:pPr>
      <w:r>
        <w:rPr>
          <w:sz w:val="21"/>
          <w:szCs w:val="21"/>
        </w:rPr>
        <w:t xml:space="preserve">En spécialité Robotique &amp; Systèmes Embarqués, cette même logique de table de correspondance s'applique au mapping entre formats de données capteurs (ex. trame UART) et structures Python applicatives — la compétence transférée est la même : documenter précisément la correspondance entre un format source externe et le modèle interne de l'application.</w:t>
      </w:r>
    </w:p>
    <w:p>
      <w:pPr>
        <w:pStyle w:val="Heading1"/>
        <w:pageBreakBefore/>
        <w:spacing w:after="160" w:before="360"/>
      </w:pPr>
      <w:r>
        <w:t xml:space="preserve">Note RGPD — agrégation de données (Bloc 4 — C3)</w:t>
      </w:r>
    </w:p>
    <w:p>
      <w:pPr>
        <w:spacing w:after="120"/>
      </w:pPr>
      <w:r>
        <w:rPr>
          <w:sz w:val="21"/>
          <w:szCs w:val="21"/>
        </w:rPr>
        <w:t xml:space="preserve">Les statistiques d'usage (nombre de fichiers, d'annonces, d'événements) sont calculées par agrégation SQL (</w:t>
      </w:r>
      <w:r>
        <w:rPr>
          <w:rFonts w:ascii="Consolas" w:cs="Consolas" w:eastAsia="Consolas" w:hAnsi="Consolas"/>
          <w:color w:val="1f2937"/>
          <w:sz w:val="19"/>
          <w:szCs w:val="19"/>
        </w:rPr>
        <w:t xml:space="preserve">COUNT</w:t>
      </w:r>
      <w:r>
        <w:rPr>
          <w:sz w:val="21"/>
          <w:szCs w:val="21"/>
        </w:rPr>
        <w:t xml:space="preserve">, </w:t>
      </w:r>
      <w:r>
        <w:rPr>
          <w:rFonts w:ascii="Consolas" w:cs="Consolas" w:eastAsia="Consolas" w:hAnsi="Consolas"/>
          <w:color w:val="1f2937"/>
          <w:sz w:val="19"/>
          <w:szCs w:val="19"/>
        </w:rPr>
        <w:t xml:space="preserve">GROUP BY</w:t>
      </w:r>
      <w:r>
        <w:rPr>
          <w:sz w:val="21"/>
          <w:szCs w:val="21"/>
        </w:rPr>
        <w:t xml:space="preserve">) sur les tables applicatives. Aucune donnée personnelle identifiante n'est exposée dans ces agrégats : la seule référence utilisateur conservée est le </w:t>
      </w:r>
      <w:r>
        <w:rPr>
          <w:rFonts w:ascii="Consolas" w:cs="Consolas" w:eastAsia="Consolas" w:hAnsi="Consolas"/>
          <w:color w:val="1f2937"/>
          <w:sz w:val="19"/>
          <w:szCs w:val="19"/>
        </w:rPr>
        <w:t xml:space="preserve">sub</w:t>
      </w:r>
      <w:r>
        <w:rPr>
          <w:sz w:val="21"/>
          <w:szCs w:val="21"/>
        </w:rPr>
        <w:t xml:space="preserve"> OIDC, une chaîne opaque générée par Keycloak, non directement lisible par un humain et sans correspondance stockée côté GestHub avec le nom réel de la personne (cette correspondance existe uniquement côté Keycloak, système d'identité tiers).</w:t>
      </w:r>
    </w:p>
    <w:p>
      <w:pPr>
        <w:spacing w:after="120"/>
      </w:pPr>
      <w:r>
        <w:rPr>
          <w:b/>
          <w:bCs/>
          <w:sz w:val="21"/>
          <w:szCs w:val="21"/>
        </w:rPr>
        <w:t xml:space="preserve">[⇒] Projection méthodologique.</w:t>
      </w:r>
      <w:r>
        <w:rPr>
          <w:sz w:val="21"/>
          <w:szCs w:val="21"/>
        </w:rPr>
        <w:t xml:space="preserve"> Une procédure de suppression des données (droit à l'oubli) est prévue mais non implémentée à ce stade : sur demande, elle consisterait à anonymiser le </w:t>
      </w:r>
      <w:r>
        <w:rPr>
          <w:rFonts w:ascii="Consolas" w:cs="Consolas" w:eastAsia="Consolas" w:hAnsi="Consolas"/>
          <w:color w:val="1f2937"/>
          <w:sz w:val="19"/>
          <w:szCs w:val="19"/>
        </w:rPr>
        <w:t xml:space="preserve">sub</w:t>
      </w:r>
      <w:r>
        <w:rPr>
          <w:sz w:val="21"/>
          <w:szCs w:val="21"/>
        </w:rPr>
        <w:t xml:space="preserve"> dans </w:t>
      </w:r>
      <w:r>
        <w:rPr>
          <w:rFonts w:ascii="Consolas" w:cs="Consolas" w:eastAsia="Consolas" w:hAnsi="Consolas"/>
          <w:color w:val="1f2937"/>
          <w:sz w:val="19"/>
          <w:szCs w:val="19"/>
        </w:rPr>
        <w:t xml:space="preserve">audit_log</w:t>
      </w:r>
      <w:r>
        <w:rPr>
          <w:sz w:val="21"/>
          <w:szCs w:val="21"/>
        </w:rPr>
        <w:t xml:space="preserve"> (remplacement par une valeur générique) tout en conservant la trace statistique de l'action.</w:t>
      </w:r>
    </w:p>
    <w:p>
      <w:pPr>
        <w:pStyle w:val="Heading1"/>
        <w:pageBreakBefore/>
        <w:spacing w:after="160" w:before="360"/>
      </w:pPr>
      <w:r>
        <w:t xml:space="preserve">Partie 6 — Journal de bord</w:t>
      </w:r>
    </w:p>
    <w:p>
      <w:pPr>
        <w:spacing w:after="120"/>
      </w:pPr>
      <w:r>
        <w:rPr>
          <w:sz w:val="21"/>
          <w:szCs w:val="21"/>
        </w:rPr>
        <w:t xml:space="preserve">Ce journal est reconstitué à partir de l'historique Git réel du dépôt GestHub (</w:t>
      </w:r>
      <w:r>
        <w:rPr>
          <w:rFonts w:ascii="Consolas" w:cs="Consolas" w:eastAsia="Consolas" w:hAnsi="Consolas"/>
          <w:color w:val="1f2937"/>
          <w:sz w:val="19"/>
          <w:szCs w:val="19"/>
        </w:rPr>
        <w:t xml:space="preserve">git log --all</w:t>
      </w:r>
      <w:r>
        <w:rPr>
          <w:sz w:val="21"/>
          <w:szCs w:val="21"/>
        </w:rPr>
        <w:t xml:space="preserve">, 41 commits entre le 1er avril 2025 et le 16 décembre 2025). Il ne s'agit pas d'un journal tenu heure par heure pendant le développement, mais d'une reconstitution honnête après-coup : chaque entrée correspond à une ou plusieurs sessions de travail identifiables par leurs commits (même date), avec ce qui a été accompli, les difficultés rencontrées et, quand elles sont identifiables depuis les messages de commit et le code, les solutions appliquées.</w:t>
      </w:r>
    </w:p>
    <w:p>
      <w:pPr>
        <w:spacing w:after="120"/>
      </w:pPr>
      <w:r>
        <w:rPr>
          <w:sz w:val="21"/>
          <w:szCs w:val="21"/>
        </w:rPr>
        <w:t xml:space="preserve">L'historique fait apparaître </w:t>
      </w:r>
      <w:r>
        <w:rPr>
          <w:b/>
          <w:bCs/>
          <w:sz w:val="21"/>
          <w:szCs w:val="21"/>
        </w:rPr>
        <w:t xml:space="preserve">11 sessions de travail identifiables</w:t>
      </w:r>
      <w:r>
        <w:rPr>
          <w:sz w:val="21"/>
          <w:szCs w:val="21"/>
        </w:rPr>
        <w:t xml:space="preserve"> sur 8 mois et demi (avril → décembre 2025), avec un pic d'activité mi-mai (mise en place du SSO et de Mattermost) et une session de refonte en décembre 2025 (passage à l'architecture "widgets" / Blocks). Le dossier RNCP narratif évoque "12 ydays" : ce chiffre inclut vraisemblablement des séances de travail sans commit (recherche, tests locaux non versionnés) non visibles dans Git — l'écart entre 11 et 12 est mineur et n'affecte pas la trajectoire générale du projet.</w:t>
      </w:r>
    </w:p>
    <w:p>
      <w:pPr>
        <w:pBdr>
          <w:bottom w:val="single" w:color="D1D5DB" w:sz="6"/>
        </w:pBdr>
        <w:spacing w:after="200" w:before="200"/>
      </w:pPr>
    </w:p>
    <w:p>
      <w:pPr>
        <w:pStyle w:val="Heading3"/>
        <w:spacing w:after="120" w:before="240"/>
      </w:pPr>
      <w:r>
        <w:t xml:space="preserve">Session 1 — 1er avril 2025 — Amorçage du projet</w:t>
      </w:r>
    </w:p>
    <w:p>
      <w:pPr>
        <w:spacing w:after="120"/>
      </w:pPr>
      <w:r>
        <w:rPr>
          <w:b/>
          <w:bCs/>
          <w:sz w:val="21"/>
          <w:szCs w:val="21"/>
        </w:rPr>
        <w:t xml:space="preserve">Commits :</w:t>
      </w:r>
      <w:r>
        <w:rPr>
          <w:sz w:val="21"/>
          <w:szCs w:val="21"/>
        </w:rPr>
        <w:t xml:space="preserve"> </w:t>
      </w:r>
      <w:r>
        <w:rPr>
          <w:rFonts w:ascii="Consolas" w:cs="Consolas" w:eastAsia="Consolas" w:hAnsi="Consolas"/>
          <w:color w:val="1f2937"/>
          <w:sz w:val="19"/>
          <w:szCs w:val="19"/>
        </w:rPr>
        <w:t xml:space="preserve">34ec9ad</w:t>
      </w:r>
      <w:r>
        <w:rPr>
          <w:sz w:val="21"/>
          <w:szCs w:val="21"/>
        </w:rPr>
        <w:t xml:space="preserve"> Initial commit · </w:t>
      </w:r>
      <w:r>
        <w:rPr>
          <w:rFonts w:ascii="Consolas" w:cs="Consolas" w:eastAsia="Consolas" w:hAnsi="Consolas"/>
          <w:color w:val="1f2937"/>
          <w:sz w:val="19"/>
          <w:szCs w:val="19"/>
        </w:rPr>
        <w:t xml:space="preserve">2f82260</w:t>
      </w:r>
      <w:r>
        <w:rPr>
          <w:sz w:val="21"/>
          <w:szCs w:val="21"/>
        </w:rPr>
        <w:t xml:space="preserve"> add list of members · </w:t>
      </w:r>
      <w:r>
        <w:rPr>
          <w:rFonts w:ascii="Consolas" w:cs="Consolas" w:eastAsia="Consolas" w:hAnsi="Consolas"/>
          <w:color w:val="1f2937"/>
          <w:sz w:val="19"/>
          <w:szCs w:val="19"/>
        </w:rPr>
        <w:t xml:space="preserve">f548db3</w:t>
      </w:r>
      <w:r>
        <w:rPr>
          <w:sz w:val="21"/>
          <w:szCs w:val="21"/>
        </w:rPr>
        <w:t xml:space="preserve"> add readme</w:t>
      </w:r>
    </w:p>
    <w:p>
      <w:pPr>
        <w:spacing w:after="120"/>
      </w:pPr>
      <w:r>
        <w:rPr>
          <w:sz w:val="21"/>
          <w:szCs w:val="21"/>
        </w:rPr>
        <w:t xml:space="preserve">Création du dépôt Git, rédaction d'un premier README et de la liste des membres du projet. GestHub démarre comme projet personnel pendant les ydays de B2, motivé par la dispersion des outils utilisés jusque-là (WhatsApp pour les annonces, clés USB pour les fichiers, agendas séparés).</w:t>
      </w:r>
    </w:p>
    <w:p>
      <w:pPr>
        <w:pStyle w:val="Heading3"/>
        <w:spacing w:after="120" w:before="240"/>
      </w:pPr>
      <w:r>
        <w:t xml:space="preserve">Session 2 — 8 avril 2025 — Expérimentations dépôt / CI</w:t>
      </w:r>
    </w:p>
    <w:p>
      <w:pPr>
        <w:spacing w:after="120"/>
      </w:pPr>
      <w:r>
        <w:rPr>
          <w:b/>
          <w:bCs/>
          <w:sz w:val="21"/>
          <w:szCs w:val="21"/>
        </w:rPr>
        <w:t xml:space="preserve">Commits :</w:t>
      </w:r>
      <w:r>
        <w:rPr>
          <w:sz w:val="21"/>
          <w:szCs w:val="21"/>
        </w:rPr>
        <w:t xml:space="preserve"> </w:t>
      </w:r>
      <w:r>
        <w:rPr>
          <w:rFonts w:ascii="Consolas" w:cs="Consolas" w:eastAsia="Consolas" w:hAnsi="Consolas"/>
          <w:color w:val="1f2937"/>
          <w:sz w:val="19"/>
          <w:szCs w:val="19"/>
        </w:rPr>
        <w:t xml:space="preserve">094eeb7</w:t>
      </w:r>
      <w:r>
        <w:rPr>
          <w:sz w:val="21"/>
          <w:szCs w:val="21"/>
        </w:rPr>
        <w:t xml:space="preserve"> add base · </w:t>
      </w:r>
      <w:r>
        <w:rPr>
          <w:rFonts w:ascii="Consolas" w:cs="Consolas" w:eastAsia="Consolas" w:hAnsi="Consolas"/>
          <w:color w:val="1f2937"/>
          <w:sz w:val="19"/>
          <w:szCs w:val="19"/>
        </w:rPr>
        <w:t xml:space="preserve">b7901b9</w:t>
      </w:r>
      <w:r>
        <w:rPr>
          <w:sz w:val="21"/>
          <w:szCs w:val="21"/>
        </w:rPr>
        <w:t xml:space="preserve"> testname · </w:t>
      </w:r>
      <w:r>
        <w:rPr>
          <w:rFonts w:ascii="Consolas" w:cs="Consolas" w:eastAsia="Consolas" w:hAnsi="Consolas"/>
          <w:color w:val="1f2937"/>
          <w:sz w:val="19"/>
          <w:szCs w:val="19"/>
        </w:rPr>
        <w:t xml:space="preserve">ab9a11a</w:t>
      </w:r>
      <w:r>
        <w:rPr>
          <w:sz w:val="21"/>
          <w:szCs w:val="21"/>
        </w:rPr>
        <w:t xml:space="preserve"> remove fileTest · </w:t>
      </w:r>
      <w:r>
        <w:rPr>
          <w:rFonts w:ascii="Consolas" w:cs="Consolas" w:eastAsia="Consolas" w:hAnsi="Consolas"/>
          <w:color w:val="1f2937"/>
          <w:sz w:val="19"/>
          <w:szCs w:val="19"/>
        </w:rPr>
        <w:t xml:space="preserve">ec246dd</w:t>
      </w:r>
      <w:r>
        <w:rPr>
          <w:sz w:val="21"/>
          <w:szCs w:val="21"/>
        </w:rPr>
        <w:t xml:space="preserve"> test strange name on github · </w:t>
      </w:r>
      <w:r>
        <w:rPr>
          <w:rFonts w:ascii="Consolas" w:cs="Consolas" w:eastAsia="Consolas" w:hAnsi="Consolas"/>
          <w:color w:val="1f2937"/>
          <w:sz w:val="19"/>
          <w:szCs w:val="19"/>
        </w:rPr>
        <w:t xml:space="preserve">7a7ad1e</w:t>
      </w:r>
      <w:r>
        <w:rPr>
          <w:sz w:val="21"/>
          <w:szCs w:val="21"/>
        </w:rPr>
        <w:t xml:space="preserve"> remove test</w:t>
      </w:r>
    </w:p>
    <w:p>
      <w:pPr>
        <w:spacing w:after="120"/>
      </w:pPr>
      <w:r>
        <w:rPr>
          <w:sz w:val="21"/>
          <w:szCs w:val="21"/>
        </w:rPr>
        <w:t xml:space="preserve">Session d'expérimentation autour du comportement de GitHub (noms de fichiers, déclenchement d'actions) — plusieurs commits de test créés puis supprimés. Aucune fonctionnalité livrée, mais compréhension des contraintes de la plateforme avant de s'engager dans l'architecture définitive.</w:t>
      </w:r>
    </w:p>
    <w:p>
      <w:pPr>
        <w:pStyle w:val="Heading3"/>
        <w:spacing w:after="120" w:before="240"/>
      </w:pPr>
      <w:r>
        <w:t xml:space="preserve">Session 3 — 14 avril 2025 — Squelette Docker</w:t>
      </w:r>
    </w:p>
    <w:p>
      <w:pPr>
        <w:spacing w:after="120"/>
      </w:pPr>
      <w:r>
        <w:rPr>
          <w:b/>
          <w:bCs/>
          <w:sz w:val="21"/>
          <w:szCs w:val="21"/>
        </w:rPr>
        <w:t xml:space="preserve">Commits :</w:t>
      </w:r>
      <w:r>
        <w:rPr>
          <w:sz w:val="21"/>
          <w:szCs w:val="21"/>
        </w:rPr>
        <w:t xml:space="preserve"> </w:t>
      </w:r>
      <w:r>
        <w:rPr>
          <w:rFonts w:ascii="Consolas" w:cs="Consolas" w:eastAsia="Consolas" w:hAnsi="Consolas"/>
          <w:color w:val="1f2937"/>
          <w:sz w:val="19"/>
          <w:szCs w:val="19"/>
        </w:rPr>
        <w:t xml:space="preserve">17c91e5</w:t>
      </w:r>
      <w:r>
        <w:rPr>
          <w:sz w:val="21"/>
          <w:szCs w:val="21"/>
        </w:rPr>
        <w:t xml:space="preserve"> add base web + change a container · </w:t>
      </w:r>
      <w:r>
        <w:rPr>
          <w:rFonts w:ascii="Consolas" w:cs="Consolas" w:eastAsia="Consolas" w:hAnsi="Consolas"/>
          <w:color w:val="1f2937"/>
          <w:sz w:val="19"/>
          <w:szCs w:val="19"/>
        </w:rPr>
        <w:t xml:space="preserve">6b3baed</w:t>
      </w:r>
      <w:r>
        <w:rPr>
          <w:sz w:val="21"/>
          <w:szCs w:val="21"/>
        </w:rPr>
        <w:t xml:space="preserve"> add base asset · </w:t>
      </w:r>
      <w:r>
        <w:rPr>
          <w:rFonts w:ascii="Consolas" w:cs="Consolas" w:eastAsia="Consolas" w:hAnsi="Consolas"/>
          <w:color w:val="1f2937"/>
          <w:sz w:val="19"/>
          <w:szCs w:val="19"/>
        </w:rPr>
        <w:t xml:space="preserve">e5a93eb</w:t>
      </w:r>
      <w:r>
        <w:rPr>
          <w:sz w:val="21"/>
          <w:szCs w:val="21"/>
        </w:rPr>
        <w:t xml:space="preserve"> modif docker files</w:t>
      </w:r>
    </w:p>
    <w:p>
      <w:pPr>
        <w:spacing w:after="120"/>
      </w:pPr>
      <w:r>
        <w:rPr>
          <w:sz w:val="21"/>
          <w:szCs w:val="21"/>
        </w:rPr>
        <w:t xml:space="preserve">Premher squelette de l'application web et premier conteneur Docker. Début de la structuration </w:t>
      </w:r>
      <w:r>
        <w:rPr>
          <w:rFonts w:ascii="Consolas" w:cs="Consolas" w:eastAsia="Consolas" w:hAnsi="Consolas"/>
          <w:color w:val="1f2937"/>
          <w:sz w:val="19"/>
          <w:szCs w:val="19"/>
        </w:rPr>
        <w:t xml:space="preserve">web/</w:t>
      </w:r>
      <w:r>
        <w:rPr>
          <w:sz w:val="21"/>
          <w:szCs w:val="21"/>
        </w:rPr>
        <w:t xml:space="preserve"> (assets, templates) qui sera conservée (et réorganisée en couches) jusqu'à la version actuelle.</w:t>
      </w:r>
    </w:p>
    <w:p>
      <w:pPr>
        <w:pStyle w:val="Heading3"/>
        <w:spacing w:after="120" w:before="240"/>
      </w:pPr>
      <w:r>
        <w:t xml:space="preserve">Session 4 — 17 avril 2025 — Webhook</w:t>
      </w:r>
    </w:p>
    <w:p>
      <w:pPr>
        <w:spacing w:after="120"/>
      </w:pPr>
      <w:r>
        <w:rPr>
          <w:b/>
          <w:bCs/>
          <w:sz w:val="21"/>
          <w:szCs w:val="21"/>
        </w:rPr>
        <w:t xml:space="preserve">Commit :</w:t>
      </w:r>
      <w:r>
        <w:rPr>
          <w:sz w:val="21"/>
          <w:szCs w:val="21"/>
        </w:rPr>
        <w:t xml:space="preserve"> </w:t>
      </w:r>
      <w:r>
        <w:rPr>
          <w:rFonts w:ascii="Consolas" w:cs="Consolas" w:eastAsia="Consolas" w:hAnsi="Consolas"/>
          <w:color w:val="1f2937"/>
          <w:sz w:val="19"/>
          <w:szCs w:val="19"/>
        </w:rPr>
        <w:t xml:space="preserve">ffbb86a</w:t>
      </w:r>
      <w:r>
        <w:rPr>
          <w:sz w:val="21"/>
          <w:szCs w:val="21"/>
        </w:rPr>
        <w:t xml:space="preserve"> testwebhook</w:t>
      </w:r>
    </w:p>
    <w:p>
      <w:pPr>
        <w:spacing w:after="120"/>
      </w:pPr>
      <w:r>
        <w:rPr>
          <w:sz w:val="21"/>
          <w:szCs w:val="21"/>
        </w:rPr>
        <w:t xml:space="preserve">Test d'un webhook (déploiement automatisé) — piste explorée puis abandonnée au profit d'un déploiement manuel </w:t>
      </w:r>
      <w:r>
        <w:rPr>
          <w:rFonts w:ascii="Consolas" w:cs="Consolas" w:eastAsia="Consolas" w:hAnsi="Consolas"/>
          <w:color w:val="1f2937"/>
          <w:sz w:val="19"/>
          <w:szCs w:val="19"/>
        </w:rPr>
        <w:t xml:space="preserve">docker compose up -d</w:t>
      </w:r>
      <w:r>
        <w:rPr>
          <w:sz w:val="21"/>
          <w:szCs w:val="21"/>
        </w:rPr>
        <w:t xml:space="preserve"> documenté dans le README (plus simple à maintenir seul sur ce projet).</w:t>
      </w:r>
    </w:p>
    <w:p>
      <w:pPr>
        <w:pStyle w:val="Heading3"/>
        <w:spacing w:after="120" w:before="240"/>
      </w:pPr>
      <w:r>
        <w:t xml:space="preserve">Session 5 — 13 mai 2025 — SSO Keycloak + Caddy fonctionnels</w:t>
      </w:r>
    </w:p>
    <w:p>
      <w:pPr>
        <w:spacing w:after="120"/>
      </w:pPr>
      <w:r>
        <w:rPr>
          <w:b/>
          <w:bCs/>
          <w:sz w:val="21"/>
          <w:szCs w:val="21"/>
        </w:rPr>
        <w:t xml:space="preserve">Commits :</w:t>
      </w:r>
      <w:r>
        <w:rPr>
          <w:sz w:val="21"/>
          <w:szCs w:val="21"/>
        </w:rPr>
        <w:t xml:space="preserve"> </w:t>
      </w:r>
      <w:r>
        <w:rPr>
          <w:rFonts w:ascii="Consolas" w:cs="Consolas" w:eastAsia="Consolas" w:hAnsi="Consolas"/>
          <w:color w:val="1f2937"/>
          <w:sz w:val="19"/>
          <w:szCs w:val="19"/>
        </w:rPr>
        <w:t xml:space="preserve">11900c2</w:t>
      </w:r>
      <w:r>
        <w:rPr>
          <w:sz w:val="21"/>
          <w:szCs w:val="21"/>
        </w:rPr>
        <w:t xml:space="preserve"> add things · </w:t>
      </w:r>
      <w:r>
        <w:rPr>
          <w:rFonts w:ascii="Consolas" w:cs="Consolas" w:eastAsia="Consolas" w:hAnsi="Consolas"/>
          <w:color w:val="1f2937"/>
          <w:sz w:val="19"/>
          <w:szCs w:val="19"/>
        </w:rPr>
        <w:t xml:space="preserve">5812193</w:t>
      </w:r>
      <w:r>
        <w:rPr>
          <w:sz w:val="21"/>
          <w:szCs w:val="21"/>
        </w:rPr>
        <w:t xml:space="preserve"> repair things · </w:t>
      </w:r>
      <w:r>
        <w:rPr>
          <w:rFonts w:ascii="Consolas" w:cs="Consolas" w:eastAsia="Consolas" w:hAnsi="Consolas"/>
          <w:color w:val="1f2937"/>
          <w:sz w:val="19"/>
          <w:szCs w:val="19"/>
        </w:rPr>
        <w:t xml:space="preserve">387b9be</w:t>
      </w:r>
      <w:r>
        <w:rPr>
          <w:sz w:val="21"/>
          <w:szCs w:val="21"/>
        </w:rPr>
        <w:t xml:space="preserve"> modif things · </w:t>
      </w:r>
      <w:r>
        <w:rPr>
          <w:rFonts w:ascii="Consolas" w:cs="Consolas" w:eastAsia="Consolas" w:hAnsi="Consolas"/>
          <w:color w:val="1f2937"/>
          <w:sz w:val="19"/>
          <w:szCs w:val="19"/>
        </w:rPr>
        <w:t xml:space="preserve">248b608</w:t>
      </w:r>
      <w:r>
        <w:rPr>
          <w:sz w:val="21"/>
          <w:szCs w:val="21"/>
        </w:rPr>
        <w:t xml:space="preserve"> repair broken README · </w:t>
      </w:r>
      <w:r>
        <w:rPr>
          <w:rFonts w:ascii="Consolas" w:cs="Consolas" w:eastAsia="Consolas" w:hAnsi="Consolas"/>
          <w:color w:val="1f2937"/>
          <w:sz w:val="19"/>
          <w:szCs w:val="19"/>
        </w:rPr>
        <w:t xml:space="preserve">cd4678c</w:t>
      </w:r>
      <w:r>
        <w:rPr>
          <w:sz w:val="21"/>
          <w:szCs w:val="21"/>
        </w:rPr>
        <w:t xml:space="preserve"> add working sso + working Caddy + 2 scripts for hosts · </w:t>
      </w:r>
      <w:r>
        <w:rPr>
          <w:rFonts w:ascii="Consolas" w:cs="Consolas" w:eastAsia="Consolas" w:hAnsi="Consolas"/>
          <w:color w:val="1f2937"/>
          <w:sz w:val="19"/>
          <w:szCs w:val="19"/>
        </w:rPr>
        <w:t xml:space="preserve">e1e8ed6</w:t>
      </w:r>
      <w:r>
        <w:rPr>
          <w:sz w:val="21"/>
          <w:szCs w:val="21"/>
        </w:rPr>
        <w:t xml:space="preserve"> delete useless file · </w:t>
      </w:r>
      <w:r>
        <w:rPr>
          <w:rFonts w:ascii="Consolas" w:cs="Consolas" w:eastAsia="Consolas" w:hAnsi="Consolas"/>
          <w:color w:val="1f2937"/>
          <w:sz w:val="19"/>
          <w:szCs w:val="19"/>
        </w:rPr>
        <w:t xml:space="preserve">9a2cdcc</w:t>
      </w:r>
      <w:r>
        <w:rPr>
          <w:sz w:val="21"/>
          <w:szCs w:val="21"/>
        </w:rPr>
        <w:t xml:space="preserve"> debug + change hostname · </w:t>
      </w:r>
      <w:r>
        <w:rPr>
          <w:rFonts w:ascii="Consolas" w:cs="Consolas" w:eastAsia="Consolas" w:hAnsi="Consolas"/>
          <w:color w:val="1f2937"/>
          <w:sz w:val="19"/>
          <w:szCs w:val="19"/>
        </w:rPr>
        <w:t xml:space="preserve">004c701</w:t>
      </w:r>
      <w:r>
        <w:rPr>
          <w:sz w:val="21"/>
          <w:szCs w:val="21"/>
        </w:rPr>
        <w:t xml:space="preserve"> test tranfer to server</w:t>
      </w:r>
    </w:p>
    <w:p>
      <w:pPr>
        <w:spacing w:after="120"/>
      </w:pPr>
      <w:r>
        <w:rPr>
          <w:b/>
          <w:bCs/>
          <w:sz w:val="21"/>
          <w:szCs w:val="21"/>
        </w:rPr>
        <w:t xml:space="preserve">Session la plus significative techniquement à ce stade.</w:t>
      </w:r>
      <w:r>
        <w:rPr>
          <w:sz w:val="21"/>
          <w:szCs w:val="21"/>
        </w:rPr>
        <w:t xml:space="preserve"> Mise en place du reverse proxy Caddy et du flux d'authentification OIDC avec Keycloak. </w:t>
      </w:r>
      <w:r>
        <w:rPr>
          <w:b/>
          <w:bCs/>
          <w:sz w:val="21"/>
          <w:szCs w:val="21"/>
        </w:rPr>
        <w:t xml:space="preserve">Difficulté rencontrée :</w:t>
      </w:r>
      <w:r>
        <w:rPr>
          <w:sz w:val="21"/>
          <w:szCs w:val="21"/>
        </w:rPr>
        <w:t xml:space="preserve"> échecs de connexion liés au hostname (le message de commit "debug + change hostname" documente une itération de correction). </w:t>
      </w:r>
      <w:r>
        <w:rPr>
          <w:b/>
          <w:bCs/>
          <w:sz w:val="21"/>
          <w:szCs w:val="21"/>
        </w:rPr>
        <w:t xml:space="preserve">Démarche :</w:t>
      </w:r>
      <w:r>
        <w:rPr>
          <w:sz w:val="21"/>
          <w:szCs w:val="21"/>
        </w:rPr>
        <w:t xml:space="preserve"> isolation du problème par test de transfert vers le serveur distant, ajustement du hostname Keycloak/Caddy jusqu'à obtention d'un flux SSO fonctionnel. Cette difficulté est la même famille de problème que celle détaillée dans le dossier technique (Bloc 3 — C5 Debugging) : Keycloak générant des URLs incohérentes avec le proxy tant que le hostname et les en-têtes de proxy ne sont pas alignés.</w:t>
      </w:r>
    </w:p>
    <w:p>
      <w:pPr>
        <w:pStyle w:val="Heading3"/>
        <w:spacing w:after="120" w:before="240"/>
      </w:pPr>
      <w:r>
        <w:t xml:space="preserve">Session 6 — 16 mai 2025 — Consolidation</w:t>
      </w:r>
    </w:p>
    <w:p>
      <w:pPr>
        <w:spacing w:after="120"/>
      </w:pPr>
      <w:r>
        <w:rPr>
          <w:b/>
          <w:bCs/>
          <w:sz w:val="21"/>
          <w:szCs w:val="21"/>
        </w:rPr>
        <w:t xml:space="preserve">Commit :</w:t>
      </w:r>
      <w:r>
        <w:rPr>
          <w:sz w:val="21"/>
          <w:szCs w:val="21"/>
        </w:rPr>
        <w:t xml:space="preserve"> </w:t>
      </w:r>
      <w:r>
        <w:rPr>
          <w:rFonts w:ascii="Consolas" w:cs="Consolas" w:eastAsia="Consolas" w:hAnsi="Consolas"/>
          <w:color w:val="1f2937"/>
          <w:sz w:val="19"/>
          <w:szCs w:val="19"/>
        </w:rPr>
        <w:t xml:space="preserve">2e87761</w:t>
      </w:r>
      <w:r>
        <w:rPr>
          <w:sz w:val="21"/>
          <w:szCs w:val="21"/>
        </w:rPr>
        <w:t xml:space="preserve"> add too many things</w:t>
      </w:r>
    </w:p>
    <w:p>
      <w:pPr>
        <w:spacing w:after="120"/>
      </w:pPr>
      <w:r>
        <w:rPr>
          <w:sz w:val="21"/>
          <w:szCs w:val="21"/>
        </w:rPr>
        <w:t xml:space="preserve">Session de rattrapage regroupant plusieurs ajustements sur </w:t>
      </w:r>
      <w:r>
        <w:rPr>
          <w:rFonts w:ascii="Consolas" w:cs="Consolas" w:eastAsia="Consolas" w:hAnsi="Consolas"/>
          <w:color w:val="1f2937"/>
          <w:sz w:val="19"/>
          <w:szCs w:val="19"/>
        </w:rPr>
        <w:t xml:space="preserve">app.py</w:t>
      </w:r>
      <w:r>
        <w:rPr>
          <w:sz w:val="21"/>
          <w:szCs w:val="21"/>
        </w:rPr>
        <w:t xml:space="preserve">, </w:t>
      </w:r>
      <w:r>
        <w:rPr>
          <w:rFonts w:ascii="Consolas" w:cs="Consolas" w:eastAsia="Consolas" w:hAnsi="Consolas"/>
          <w:color w:val="1f2937"/>
          <w:sz w:val="19"/>
          <w:szCs w:val="19"/>
        </w:rPr>
        <w:t xml:space="preserve">docker-compose.yml</w:t>
      </w:r>
      <w:r>
        <w:rPr>
          <w:sz w:val="21"/>
          <w:szCs w:val="21"/>
        </w:rPr>
        <w:t xml:space="preserve"> et les templates (message de commit peu descriptif — point d'amélioration identifié pour la suite : commits plus atomiques et mieux nommés, cf. Annexe A1).</w:t>
      </w:r>
    </w:p>
    <w:p>
      <w:pPr>
        <w:pStyle w:val="Heading3"/>
        <w:spacing w:after="120" w:before="240"/>
      </w:pPr>
      <w:r>
        <w:t xml:space="preserve">Session 7 — 17 mai 2025 — Intégration Mattermost</w:t>
      </w:r>
    </w:p>
    <w:p>
      <w:pPr>
        <w:spacing w:after="120"/>
      </w:pPr>
      <w:r>
        <w:rPr>
          <w:b/>
          <w:bCs/>
          <w:sz w:val="21"/>
          <w:szCs w:val="21"/>
        </w:rPr>
        <w:t xml:space="preserve">Commits :</w:t>
      </w:r>
      <w:r>
        <w:rPr>
          <w:sz w:val="21"/>
          <w:szCs w:val="21"/>
        </w:rPr>
        <w:t xml:space="preserve"> </w:t>
      </w:r>
      <w:r>
        <w:rPr>
          <w:rFonts w:ascii="Consolas" w:cs="Consolas" w:eastAsia="Consolas" w:hAnsi="Consolas"/>
          <w:color w:val="1f2937"/>
          <w:sz w:val="19"/>
          <w:szCs w:val="19"/>
        </w:rPr>
        <w:t xml:space="preserve">6f69316</w:t>
      </w:r>
      <w:r>
        <w:rPr>
          <w:sz w:val="21"/>
          <w:szCs w:val="21"/>
        </w:rPr>
        <w:t xml:space="preserve"> index html et css · </w:t>
      </w:r>
      <w:r>
        <w:rPr>
          <w:rFonts w:ascii="Consolas" w:cs="Consolas" w:eastAsia="Consolas" w:hAnsi="Consolas"/>
          <w:color w:val="1f2937"/>
          <w:sz w:val="19"/>
          <w:szCs w:val="19"/>
        </w:rPr>
        <w:t xml:space="preserve">f248ba3</w:t>
      </w:r>
      <w:r>
        <w:rPr>
          <w:sz w:val="21"/>
          <w:szCs w:val="21"/>
        </w:rPr>
        <w:t xml:space="preserve"> ajout boutons pour les documents · </w:t>
      </w:r>
      <w:r>
        <w:rPr>
          <w:rFonts w:ascii="Consolas" w:cs="Consolas" w:eastAsia="Consolas" w:hAnsi="Consolas"/>
          <w:color w:val="1f2937"/>
          <w:sz w:val="19"/>
          <w:szCs w:val="19"/>
        </w:rPr>
        <w:t xml:space="preserve">0aaa312</w:t>
      </w:r>
      <w:r>
        <w:rPr>
          <w:sz w:val="21"/>
          <w:szCs w:val="21"/>
        </w:rPr>
        <w:t xml:space="preserve"> add working mattermost + working sso for all · </w:t>
      </w:r>
      <w:r>
        <w:rPr>
          <w:rFonts w:ascii="Consolas" w:cs="Consolas" w:eastAsia="Consolas" w:hAnsi="Consolas"/>
          <w:color w:val="1f2937"/>
          <w:sz w:val="19"/>
          <w:szCs w:val="19"/>
        </w:rPr>
        <w:t xml:space="preserve">5009865</w:t>
      </w:r>
      <w:r>
        <w:rPr>
          <w:sz w:val="21"/>
          <w:szCs w:val="21"/>
        </w:rPr>
        <w:t xml:space="preserve"> fix website · </w:t>
      </w:r>
      <w:r>
        <w:rPr>
          <w:rFonts w:ascii="Consolas" w:cs="Consolas" w:eastAsia="Consolas" w:hAnsi="Consolas"/>
          <w:color w:val="1f2937"/>
          <w:sz w:val="19"/>
          <w:szCs w:val="19"/>
        </w:rPr>
        <w:t xml:space="preserve">7050cd3</w:t>
      </w:r>
      <w:r>
        <w:rPr>
          <w:sz w:val="21"/>
          <w:szCs w:val="21"/>
        </w:rPr>
        <w:t xml:space="preserve"> modif js · </w:t>
      </w:r>
      <w:r>
        <w:rPr>
          <w:rFonts w:ascii="Consolas" w:cs="Consolas" w:eastAsia="Consolas" w:hAnsi="Consolas"/>
          <w:color w:val="1f2937"/>
          <w:sz w:val="19"/>
          <w:szCs w:val="19"/>
        </w:rPr>
        <w:t xml:space="preserve">8b13674</w:t>
      </w:r>
      <w:r>
        <w:rPr>
          <w:sz w:val="21"/>
          <w:szCs w:val="21"/>
        </w:rPr>
        <w:t xml:space="preserve"> Test fontAwesome</w:t>
      </w:r>
    </w:p>
    <w:p>
      <w:pPr>
        <w:spacing w:after="120"/>
      </w:pPr>
      <w:r>
        <w:rPr>
          <w:sz w:val="21"/>
          <w:szCs w:val="21"/>
        </w:rPr>
        <w:t xml:space="preserve">Page d'accueil restructurée (HTML/CSS) et intégration de </w:t>
      </w:r>
      <w:r>
        <w:rPr>
          <w:b/>
          <w:bCs/>
          <w:sz w:val="21"/>
          <w:szCs w:val="21"/>
        </w:rPr>
        <w:t xml:space="preserve">Mattermost</w:t>
      </w:r>
      <w:r>
        <w:rPr>
          <w:sz w:val="21"/>
          <w:szCs w:val="21"/>
        </w:rPr>
        <w:t xml:space="preserve"> (chat + tableaux Kanban) via authentification SSO partagée avec Keycloak. Décision d'architecture actée ici : réutiliser Mattermost plutôt que développer un chat et un Kanban maison (cohérent avec le principe DRY — Bloc 2, C6 — réutilisation d'un outil mature plutôt que réinvention).</w:t>
      </w:r>
    </w:p>
    <w:p>
      <w:pPr>
        <w:pStyle w:val="Heading3"/>
        <w:spacing w:after="120" w:before="240"/>
      </w:pPr>
      <w:r>
        <w:t xml:space="preserve">Session 8 — 18 mai 2025 — Session utilisateur et widgets</w:t>
      </w:r>
    </w:p>
    <w:p>
      <w:pPr>
        <w:spacing w:after="120"/>
      </w:pPr>
      <w:r>
        <w:rPr>
          <w:b/>
          <w:bCs/>
          <w:sz w:val="21"/>
          <w:szCs w:val="21"/>
        </w:rPr>
        <w:t xml:space="preserve">Commits :</w:t>
      </w:r>
      <w:r>
        <w:rPr>
          <w:sz w:val="21"/>
          <w:szCs w:val="21"/>
        </w:rPr>
        <w:t xml:space="preserve"> </w:t>
      </w:r>
      <w:r>
        <w:rPr>
          <w:rFonts w:ascii="Consolas" w:cs="Consolas" w:eastAsia="Consolas" w:hAnsi="Consolas"/>
          <w:color w:val="1f2937"/>
          <w:sz w:val="19"/>
          <w:szCs w:val="19"/>
        </w:rPr>
        <w:t xml:space="preserve">3a2f44c</w:t>
      </w:r>
      <w:r>
        <w:rPr>
          <w:sz w:val="21"/>
          <w:szCs w:val="21"/>
        </w:rPr>
        <w:t xml:space="preserve">/</w:t>
      </w:r>
      <w:r>
        <w:rPr>
          <w:rFonts w:ascii="Consolas" w:cs="Consolas" w:eastAsia="Consolas" w:hAnsi="Consolas"/>
          <w:color w:val="1f2937"/>
          <w:sz w:val="19"/>
          <w:szCs w:val="19"/>
        </w:rPr>
        <w:t xml:space="preserve">8d6a9d0</w:t>
      </w:r>
      <w:r>
        <w:rPr>
          <w:sz w:val="21"/>
          <w:szCs w:val="21"/>
        </w:rPr>
        <w:t xml:space="preserve">/</w:t>
      </w:r>
      <w:r>
        <w:rPr>
          <w:rFonts w:ascii="Consolas" w:cs="Consolas" w:eastAsia="Consolas" w:hAnsi="Consolas"/>
          <w:color w:val="1f2937"/>
          <w:sz w:val="19"/>
          <w:szCs w:val="19"/>
        </w:rPr>
        <w:t xml:space="preserve">a671314</w:t>
      </w:r>
      <w:r>
        <w:rPr>
          <w:sz w:val="21"/>
          <w:szCs w:val="21"/>
        </w:rPr>
        <w:t xml:space="preserve"> test show username · </w:t>
      </w:r>
      <w:r>
        <w:rPr>
          <w:rFonts w:ascii="Consolas" w:cs="Consolas" w:eastAsia="Consolas" w:hAnsi="Consolas"/>
          <w:color w:val="1f2937"/>
          <w:sz w:val="19"/>
          <w:szCs w:val="19"/>
        </w:rPr>
        <w:t xml:space="preserve">8d38a23</w:t>
      </w:r>
      <w:r>
        <w:rPr>
          <w:sz w:val="21"/>
          <w:szCs w:val="21"/>
        </w:rPr>
        <w:t xml:space="preserve">/</w:t>
      </w:r>
      <w:r>
        <w:rPr>
          <w:rFonts w:ascii="Consolas" w:cs="Consolas" w:eastAsia="Consolas" w:hAnsi="Consolas"/>
          <w:color w:val="1f2937"/>
          <w:sz w:val="19"/>
          <w:szCs w:val="19"/>
        </w:rPr>
        <w:t xml:space="preserve">8b34ea8</w:t>
      </w:r>
      <w:r>
        <w:rPr>
          <w:sz w:val="21"/>
          <w:szCs w:val="21"/>
        </w:rPr>
        <w:t xml:space="preserve"> fix logger · </w:t>
      </w:r>
      <w:r>
        <w:rPr>
          <w:rFonts w:ascii="Consolas" w:cs="Consolas" w:eastAsia="Consolas" w:hAnsi="Consolas"/>
          <w:color w:val="1f2937"/>
          <w:sz w:val="19"/>
          <w:szCs w:val="19"/>
        </w:rPr>
        <w:t xml:space="preserve">45d905f</w:t>
      </w:r>
      <w:r>
        <w:rPr>
          <w:sz w:val="21"/>
          <w:szCs w:val="21"/>
        </w:rPr>
        <w:t xml:space="preserve"> Add debug mode on flask · </w:t>
      </w:r>
      <w:r>
        <w:rPr>
          <w:rFonts w:ascii="Consolas" w:cs="Consolas" w:eastAsia="Consolas" w:hAnsi="Consolas"/>
          <w:color w:val="1f2937"/>
          <w:sz w:val="19"/>
          <w:szCs w:val="19"/>
        </w:rPr>
        <w:t xml:space="preserve">df729c8</w:t>
      </w:r>
      <w:r>
        <w:rPr>
          <w:sz w:val="21"/>
          <w:szCs w:val="21"/>
        </w:rPr>
        <w:t xml:space="preserve"> Update html with display name and add logout button · </w:t>
      </w:r>
      <w:r>
        <w:rPr>
          <w:rFonts w:ascii="Consolas" w:cs="Consolas" w:eastAsia="Consolas" w:hAnsi="Consolas"/>
          <w:color w:val="1f2937"/>
          <w:sz w:val="19"/>
          <w:szCs w:val="19"/>
        </w:rPr>
        <w:t xml:space="preserve">4d68f48</w:t>
      </w:r>
      <w:r>
        <w:rPr>
          <w:sz w:val="21"/>
          <w:szCs w:val="21"/>
        </w:rPr>
        <w:t xml:space="preserve"> test widget · </w:t>
      </w:r>
      <w:r>
        <w:rPr>
          <w:rFonts w:ascii="Consolas" w:cs="Consolas" w:eastAsia="Consolas" w:hAnsi="Consolas"/>
          <w:color w:val="1f2937"/>
          <w:sz w:val="19"/>
          <w:szCs w:val="19"/>
        </w:rPr>
        <w:t xml:space="preserve">e8773a9</w:t>
      </w:r>
      <w:r>
        <w:rPr>
          <w:sz w:val="21"/>
          <w:szCs w:val="21"/>
        </w:rPr>
        <w:t xml:space="preserve">/</w:t>
      </w:r>
      <w:r>
        <w:rPr>
          <w:rFonts w:ascii="Consolas" w:cs="Consolas" w:eastAsia="Consolas" w:hAnsi="Consolas"/>
          <w:color w:val="1f2937"/>
          <w:sz w:val="19"/>
          <w:szCs w:val="19"/>
        </w:rPr>
        <w:t xml:space="preserve">00c5bb7</w:t>
      </w:r>
      <w:r>
        <w:rPr>
          <w:sz w:val="21"/>
          <w:szCs w:val="21"/>
        </w:rPr>
        <w:t xml:space="preserve"> add working widget for board</w:t>
      </w:r>
    </w:p>
    <w:p>
      <w:pPr>
        <w:spacing w:after="120"/>
      </w:pPr>
      <w:r>
        <w:rPr>
          <w:sz w:val="21"/>
          <w:szCs w:val="21"/>
        </w:rPr>
        <w:t xml:space="preserve">Affichage du nom d'utilisateur (claim OIDC </w:t>
      </w:r>
      <w:r>
        <w:rPr>
          <w:rFonts w:ascii="Consolas" w:cs="Consolas" w:eastAsia="Consolas" w:hAnsi="Consolas"/>
          <w:color w:val="1f2937"/>
          <w:sz w:val="19"/>
          <w:szCs w:val="19"/>
        </w:rPr>
        <w:t xml:space="preserve">preferred_username</w:t>
      </w:r>
      <w:r>
        <w:rPr>
          <w:sz w:val="21"/>
          <w:szCs w:val="21"/>
        </w:rPr>
        <w:t xml:space="preserve">) et bouton de déconnexion. Introduction des premiers "widgets" intégrant les tableaux Mattermost dans le dashboard — la préfiguration directe du système de </w:t>
      </w:r>
      <w:r>
        <w:rPr>
          <w:rFonts w:ascii="Consolas" w:cs="Consolas" w:eastAsia="Consolas" w:hAnsi="Consolas"/>
          <w:color w:val="1f2937"/>
          <w:sz w:val="19"/>
          <w:szCs w:val="19"/>
        </w:rPr>
        <w:t xml:space="preserve">Block</w:t>
      </w:r>
      <w:r>
        <w:rPr>
          <w:sz w:val="21"/>
          <w:szCs w:val="21"/>
        </w:rPr>
        <w:t xml:space="preserve"> généralisé en décembre 2025.</w:t>
      </w:r>
    </w:p>
    <w:p>
      <w:pPr>
        <w:pStyle w:val="Heading3"/>
        <w:spacing w:after="120" w:before="240"/>
      </w:pPr>
      <w:r>
        <w:t xml:space="preserve">Session 9 — 18–19 mai 2025 — Version fonctionnelle bout en bout</w:t>
      </w:r>
    </w:p>
    <w:p>
      <w:pPr>
        <w:spacing w:after="120"/>
      </w:pPr>
      <w:r>
        <w:rPr>
          <w:b/>
          <w:bCs/>
          <w:sz w:val="21"/>
          <w:szCs w:val="21"/>
        </w:rPr>
        <w:t xml:space="preserve">Commits :</w:t>
      </w:r>
      <w:r>
        <w:rPr>
          <w:sz w:val="21"/>
          <w:szCs w:val="21"/>
        </w:rPr>
        <w:t xml:space="preserve"> </w:t>
      </w:r>
      <w:r>
        <w:rPr>
          <w:rFonts w:ascii="Consolas" w:cs="Consolas" w:eastAsia="Consolas" w:hAnsi="Consolas"/>
          <w:color w:val="1f2937"/>
          <w:sz w:val="19"/>
          <w:szCs w:val="19"/>
        </w:rPr>
        <w:t xml:space="preserve">9cab64f</w:t>
      </w:r>
      <w:r>
        <w:rPr>
          <w:sz w:val="21"/>
          <w:szCs w:val="21"/>
        </w:rPr>
        <w:t xml:space="preserve">/</w:t>
      </w:r>
      <w:r>
        <w:rPr>
          <w:rFonts w:ascii="Consolas" w:cs="Consolas" w:eastAsia="Consolas" w:hAnsi="Consolas"/>
          <w:color w:val="1f2937"/>
          <w:sz w:val="19"/>
          <w:szCs w:val="19"/>
        </w:rPr>
        <w:t xml:space="preserve">d5ede3c</w:t>
      </w:r>
      <w:r>
        <w:rPr>
          <w:sz w:val="21"/>
          <w:szCs w:val="21"/>
        </w:rPr>
        <w:t xml:space="preserve"> website fonctionnel / front=ok / back=ok / docker=ok · </w:t>
      </w:r>
      <w:r>
        <w:rPr>
          <w:rFonts w:ascii="Consolas" w:cs="Consolas" w:eastAsia="Consolas" w:hAnsi="Consolas"/>
          <w:color w:val="1f2937"/>
          <w:sz w:val="19"/>
          <w:szCs w:val="19"/>
        </w:rPr>
        <w:t xml:space="preserve">697902d</w:t>
      </w:r>
      <w:r>
        <w:rPr>
          <w:sz w:val="21"/>
          <w:szCs w:val="21"/>
        </w:rPr>
        <w:t xml:space="preserve"> export config keycloak · </w:t>
      </w:r>
      <w:r>
        <w:rPr>
          <w:rFonts w:ascii="Consolas" w:cs="Consolas" w:eastAsia="Consolas" w:hAnsi="Consolas"/>
          <w:color w:val="1f2937"/>
          <w:sz w:val="19"/>
          <w:szCs w:val="19"/>
        </w:rPr>
        <w:t xml:space="preserve">3172c6e</w:t>
      </w:r>
      <w:r>
        <w:rPr>
          <w:sz w:val="21"/>
          <w:szCs w:val="21"/>
        </w:rPr>
        <w:t xml:space="preserve"> merge · </w:t>
      </w:r>
      <w:r>
        <w:rPr>
          <w:rFonts w:ascii="Consolas" w:cs="Consolas" w:eastAsia="Consolas" w:hAnsi="Consolas"/>
          <w:color w:val="1f2937"/>
          <w:sz w:val="19"/>
          <w:szCs w:val="19"/>
        </w:rPr>
        <w:t xml:space="preserve">9080df2</w:t>
      </w:r>
      <w:r>
        <w:rPr>
          <w:sz w:val="21"/>
          <w:szCs w:val="21"/>
        </w:rPr>
        <w:t xml:space="preserve">/</w:t>
      </w:r>
      <w:r>
        <w:rPr>
          <w:rFonts w:ascii="Consolas" w:cs="Consolas" w:eastAsia="Consolas" w:hAnsi="Consolas"/>
          <w:color w:val="1f2937"/>
          <w:sz w:val="19"/>
          <w:szCs w:val="19"/>
        </w:rPr>
        <w:t xml:space="preserve">3b2fa00</w:t>
      </w:r>
      <w:r>
        <w:rPr>
          <w:sz w:val="21"/>
          <w:szCs w:val="21"/>
        </w:rPr>
        <w:t xml:space="preserve"> modif README</w:t>
      </w:r>
    </w:p>
    <w:p>
      <w:pPr>
        <w:spacing w:after="120"/>
      </w:pPr>
      <w:r>
        <w:rPr>
          <w:sz w:val="21"/>
          <w:szCs w:val="21"/>
        </w:rPr>
        <w:t xml:space="preserve">Premier jalon "de bout en bout" : front, back et Docker fonctionnels ensemble. Export de la configuration Keycloak (</w:t>
      </w:r>
      <w:r>
        <w:rPr>
          <w:rFonts w:ascii="Consolas" w:cs="Consolas" w:eastAsia="Consolas" w:hAnsi="Consolas"/>
          <w:color w:val="1f2937"/>
          <w:sz w:val="19"/>
          <w:szCs w:val="19"/>
        </w:rPr>
        <w:t xml:space="preserve">export_keycloak/*.json</w:t>
      </w:r>
      <w:r>
        <w:rPr>
          <w:sz w:val="21"/>
          <w:szCs w:val="21"/>
        </w:rPr>
        <w:t xml:space="preserve">) pour permettre à un tiers de reconstituer le realm sans réaliser la configuration manuellement — élément de reproductibilité repris dans la Partie 3 (DevOps) du présent dossier.</w:t>
      </w:r>
    </w:p>
    <w:p>
      <w:pPr>
        <w:pStyle w:val="Heading3"/>
        <w:spacing w:after="120" w:before="240"/>
      </w:pPr>
      <w:r>
        <w:t xml:space="preserve">Session 10 — 3 octobre 2025 — Hygiène du dépôt</w:t>
      </w:r>
    </w:p>
    <w:p>
      <w:pPr>
        <w:spacing w:after="120"/>
      </w:pPr>
      <w:r>
        <w:rPr>
          <w:b/>
          <w:bCs/>
          <w:sz w:val="21"/>
          <w:szCs w:val="21"/>
        </w:rPr>
        <w:t xml:space="preserve">Commit :</w:t>
      </w:r>
      <w:r>
        <w:rPr>
          <w:sz w:val="21"/>
          <w:szCs w:val="21"/>
        </w:rPr>
        <w:t xml:space="preserve"> </w:t>
      </w:r>
      <w:r>
        <w:rPr>
          <w:rFonts w:ascii="Consolas" w:cs="Consolas" w:eastAsia="Consolas" w:hAnsi="Consolas"/>
          <w:color w:val="1f2937"/>
          <w:sz w:val="19"/>
          <w:szCs w:val="19"/>
        </w:rPr>
        <w:t xml:space="preserve">4c7bb77</w:t>
      </w:r>
      <w:r>
        <w:rPr>
          <w:sz w:val="21"/>
          <w:szCs w:val="21"/>
        </w:rPr>
        <w:t xml:space="preserve"> add gitignore</w:t>
      </w:r>
    </w:p>
    <w:p>
      <w:pPr>
        <w:spacing w:after="120"/>
      </w:pPr>
      <w:r>
        <w:rPr>
          <w:sz w:val="21"/>
          <w:szCs w:val="21"/>
        </w:rPr>
        <w:t xml:space="preserve">Après une pause de près de 4 mois et demi (rentrée académique B3, spécialité Robotique &amp; Systèmes Embarqués), ajout d'un </w:t>
      </w:r>
      <w:r>
        <w:rPr>
          <w:rFonts w:ascii="Consolas" w:cs="Consolas" w:eastAsia="Consolas" w:hAnsi="Consolas"/>
          <w:color w:val="1f2937"/>
          <w:sz w:val="19"/>
          <w:szCs w:val="19"/>
        </w:rPr>
        <w:t xml:space="preserve">.gitignore</w:t>
      </w:r>
      <w:r>
        <w:rPr>
          <w:sz w:val="21"/>
          <w:szCs w:val="21"/>
        </w:rPr>
        <w:t xml:space="preserve">. Signale la reprise du projet et un souci d'hygiène avant de poursuivre le développement.</w:t>
      </w:r>
    </w:p>
    <w:p>
      <w:pPr>
        <w:pStyle w:val="Heading3"/>
        <w:spacing w:after="120" w:before="240"/>
      </w:pPr>
      <w:r>
        <w:t xml:space="preserve">Session 11 — 16 décembre 2025 — Refonte du dashboard + widgets</w:t>
      </w:r>
    </w:p>
    <w:p>
      <w:pPr>
        <w:spacing w:after="120"/>
      </w:pPr>
      <w:r>
        <w:rPr>
          <w:b/>
          <w:bCs/>
          <w:sz w:val="21"/>
          <w:szCs w:val="21"/>
        </w:rPr>
        <w:t xml:space="preserve">Commits :</w:t>
      </w:r>
      <w:r>
        <w:rPr>
          <w:sz w:val="21"/>
          <w:szCs w:val="21"/>
        </w:rPr>
        <w:t xml:space="preserve"> </w:t>
      </w:r>
      <w:r>
        <w:rPr>
          <w:rFonts w:ascii="Consolas" w:cs="Consolas" w:eastAsia="Consolas" w:hAnsi="Consolas"/>
          <w:color w:val="1f2937"/>
          <w:sz w:val="19"/>
          <w:szCs w:val="19"/>
        </w:rPr>
        <w:t xml:space="preserve">e0883b0</w:t>
      </w:r>
      <w:r>
        <w:rPr>
          <w:sz w:val="21"/>
          <w:szCs w:val="21"/>
        </w:rPr>
        <w:t xml:space="preserve"> test redesign gesthub · </w:t>
      </w:r>
      <w:r>
        <w:rPr>
          <w:rFonts w:ascii="Consolas" w:cs="Consolas" w:eastAsia="Consolas" w:hAnsi="Consolas"/>
          <w:color w:val="1f2937"/>
          <w:sz w:val="19"/>
          <w:szCs w:val="19"/>
        </w:rPr>
        <w:t xml:space="preserve">1f2c67f</w:t>
      </w:r>
      <w:r>
        <w:rPr>
          <w:sz w:val="21"/>
          <w:szCs w:val="21"/>
        </w:rPr>
        <w:t xml:space="preserve"> modif hostname keycloak (im stupid) · </w:t>
      </w:r>
      <w:r>
        <w:rPr>
          <w:rFonts w:ascii="Consolas" w:cs="Consolas" w:eastAsia="Consolas" w:hAnsi="Consolas"/>
          <w:color w:val="1f2937"/>
          <w:sz w:val="19"/>
          <w:szCs w:val="19"/>
        </w:rPr>
        <w:t xml:space="preserve">45c8982</w:t>
      </w:r>
      <w:r>
        <w:rPr>
          <w:sz w:val="21"/>
          <w:szCs w:val="21"/>
        </w:rPr>
        <w:t xml:space="preserve"> modif port keycloak (im stupid)</w:t>
      </w:r>
    </w:p>
    <w:p>
      <w:pPr>
        <w:spacing w:after="120"/>
      </w:pPr>
      <w:r>
        <w:rPr>
          <w:sz w:val="21"/>
          <w:szCs w:val="21"/>
        </w:rPr>
        <w:t xml:space="preserve">Refonte majeure : remplacement du stockage JSON des annonces par un modèle </w:t>
      </w:r>
      <w:r>
        <w:rPr>
          <w:rFonts w:ascii="Consolas" w:cs="Consolas" w:eastAsia="Consolas" w:hAnsi="Consolas"/>
          <w:color w:val="1f2937"/>
          <w:sz w:val="19"/>
          <w:szCs w:val="19"/>
        </w:rPr>
        <w:t xml:space="preserve">Block</w:t>
      </w:r>
      <w:r>
        <w:rPr>
          <w:sz w:val="21"/>
          <w:szCs w:val="21"/>
        </w:rPr>
        <w:t xml:space="preserve"> en base MariaDB (via Flask-SQLAlchemy à l'époque), généralisation du tableau de bord en widgets déplaçables (drag &amp; drop, SortableJS), API </w:t>
      </w:r>
      <w:r>
        <w:rPr>
          <w:rFonts w:ascii="Consolas" w:cs="Consolas" w:eastAsia="Consolas" w:hAnsi="Consolas"/>
          <w:color w:val="1f2937"/>
          <w:sz w:val="19"/>
          <w:szCs w:val="19"/>
        </w:rPr>
        <w:t xml:space="preserve">/api/layout</w:t>
      </w:r>
      <w:r>
        <w:rPr>
          <w:sz w:val="21"/>
          <w:szCs w:val="21"/>
        </w:rPr>
        <w:t xml:space="preserve"> pour la persistance de l'agencement. </w:t>
      </w:r>
      <w:r>
        <w:rPr>
          <w:b/>
          <w:bCs/>
          <w:sz w:val="21"/>
          <w:szCs w:val="21"/>
        </w:rPr>
        <w:t xml:space="preserve">Difficulté</w:t>
      </w:r>
      <w:r>
        <w:rPr>
          <w:sz w:val="21"/>
          <w:szCs w:val="21"/>
        </w:rPr>
        <w:t xml:space="preserve"> : nouvelle itération de configuration Keycloak (hostname puis port), corrigée dans la foulée — les messages de commit ("im stupid") illustrent une auto-critique sur des erreurs de configuration simples mais bloquantes, un aléa classique en configuration d'infrastructure.</w:t>
      </w:r>
    </w:p>
    <w:p>
      <w:pPr>
        <w:pBdr>
          <w:bottom w:val="single" w:color="D1D5DB" w:sz="6"/>
        </w:pBdr>
        <w:spacing w:after="200" w:before="200"/>
      </w:pPr>
    </w:p>
    <w:p>
      <w:pPr>
        <w:pStyle w:val="Heading2"/>
        <w:spacing w:after="140" w:before="300"/>
      </w:pPr>
      <w:r>
        <w:t xml:space="preserve">Travaux réalisés pour ce dossier RNCP (janvier–août 2026, hors Git détaillé)</w:t>
      </w:r>
    </w:p>
    <w:p>
      <w:pPr>
        <w:spacing w:after="120"/>
      </w:pPr>
      <w:r>
        <w:rPr>
          <w:sz w:val="21"/>
          <w:szCs w:val="21"/>
        </w:rPr>
        <w:t xml:space="preserve">En vue du présent dossier, le code a été </w:t>
      </w:r>
      <w:r>
        <w:rPr>
          <w:b/>
          <w:bCs/>
          <w:sz w:val="21"/>
          <w:szCs w:val="21"/>
        </w:rPr>
        <w:t xml:space="preserve">repris et complété</w:t>
      </w:r>
      <w:r>
        <w:rPr>
          <w:sz w:val="21"/>
          <w:szCs w:val="21"/>
        </w:rPr>
        <w:t xml:space="preserve"> pour correspondre à l'état réellement décrit dans la Partie 2 : passage de Flask-SQLAlchemy à PyMySQL avec architecture en couches (routes/services/models, Repository Pattern), ajout des modules Annonces, Fichiers et Planning (jusque-là absents ou à l'état de squelette), ajout de la table et du service </w:t>
      </w:r>
      <w:r>
        <w:rPr>
          <w:rFonts w:ascii="Consolas" w:cs="Consolas" w:eastAsia="Consolas" w:hAnsi="Consolas"/>
          <w:color w:val="1f2937"/>
          <w:sz w:val="19"/>
          <w:szCs w:val="19"/>
        </w:rPr>
        <w:t xml:space="preserve">audit_log</w:t>
      </w:r>
      <w:r>
        <w:rPr>
          <w:sz w:val="21"/>
          <w:szCs w:val="21"/>
        </w:rPr>
        <w:t xml:space="preserve">, écriture et exécution réelle d'une suite de 34 tests automatisés (pytest, contre une vraie base MariaDB), vérification réelle par flake8 et radon (0 violation, complexité moyenne A/1.70, taux de commentaires 13 %). Ce travail est documenté avec son propre horodatage dans le dépôt </w:t>
      </w:r>
      <w:r>
        <w:rPr>
          <w:rFonts w:ascii="Consolas" w:cs="Consolas" w:eastAsia="Consolas" w:hAnsi="Consolas"/>
          <w:color w:val="1f2937"/>
          <w:sz w:val="19"/>
          <w:szCs w:val="19"/>
        </w:rPr>
        <w:t xml:space="preserve">gesthub-v2</w:t>
      </w:r>
      <w:r>
        <w:rPr>
          <w:sz w:val="21"/>
          <w:szCs w:val="21"/>
        </w:rPr>
        <w:t xml:space="preserve"> livré en annexe de ce dossier.</w:t>
      </w:r>
    </w:p>
    <w:p>
      <w:pPr>
        <w:pStyle w:val="Heading1"/>
        <w:pageBreakBefore/>
        <w:spacing w:after="160" w:before="360"/>
      </w:pPr>
      <w:r>
        <w:t xml:space="preserve">Section 16 — Planning prévisionnel par phases</w:t>
      </w:r>
    </w:p>
    <w:p>
      <w:pPr>
        <w:spacing w:after="120"/>
      </w:pPr>
      <w:r>
        <w:rPr>
          <w:sz w:val="21"/>
          <w:szCs w:val="21"/>
        </w:rPr>
        <w:t xml:space="preserve">Le planning ci-dessous reconstitue la chronologie réelle du projet (source : historique Git, cf. Partie 6 — Journal de bord) et la complète par les travaux menés spécifiquement pour ce dossier RNCP (Phase 8). Il distingue la </w:t>
      </w:r>
      <w:r>
        <w:rPr>
          <w:b/>
          <w:bCs/>
          <w:sz w:val="21"/>
          <w:szCs w:val="21"/>
        </w:rPr>
        <w:t xml:space="preserve">disponibilité réelle</w:t>
      </w:r>
      <w:r>
        <w:rPr>
          <w:sz w:val="21"/>
          <w:szCs w:val="21"/>
        </w:rPr>
        <w:t xml:space="preserve"> (temps partiel, ydays ponctuels, pauses entre sessions) de la </w:t>
      </w:r>
      <w:r>
        <w:rPr>
          <w:b/>
          <w:bCs/>
          <w:sz w:val="21"/>
          <w:szCs w:val="21"/>
        </w:rPr>
        <w:t xml:space="preserve">charge estimée</w:t>
      </w:r>
      <w:r>
        <w:rPr>
          <w:sz w:val="21"/>
          <w:szCs w:val="21"/>
        </w:rPr>
        <w:t xml:space="preserve"> par phase.</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1870"/>
        <w:gridCol w:w="1870"/>
        <w:gridCol w:w="1870"/>
        <w:gridCol w:w="1870"/>
        <w:gridCol w:w="1870"/>
      </w:tblGrid>
      <w:tr>
        <w:trPr>
          <w:tblHeader/>
        </w:trPr>
        <w:tc>
          <w:tcPr>
            <w:tcW w:type="dxa" w:w="1870"/>
            <w:shd w:fill="1f2937" w:color="auto" w:val="clear"/>
            <w:tcMar>
              <w:top w:type="dxa" w:w="60"/>
              <w:left w:type="dxa" w:w="100"/>
              <w:bottom w:type="dxa" w:w="60"/>
              <w:right w:type="dxa" w:w="100"/>
            </w:tcMar>
          </w:tcPr>
          <w:p>
            <w:r>
              <w:rPr>
                <w:b/>
                <w:bCs/>
                <w:color w:val="FFFFFF"/>
                <w:sz w:val="19"/>
                <w:szCs w:val="19"/>
              </w:rPr>
              <w:t xml:space="preserve">Phase</w:t>
            </w:r>
          </w:p>
        </w:tc>
        <w:tc>
          <w:tcPr>
            <w:tcW w:type="dxa" w:w="1870"/>
            <w:shd w:fill="1f2937" w:color="auto" w:val="clear"/>
            <w:tcMar>
              <w:top w:type="dxa" w:w="60"/>
              <w:left w:type="dxa" w:w="100"/>
              <w:bottom w:type="dxa" w:w="60"/>
              <w:right w:type="dxa" w:w="100"/>
            </w:tcMar>
          </w:tcPr>
          <w:p>
            <w:r>
              <w:rPr>
                <w:b/>
                <w:bCs/>
                <w:color w:val="FFFFFF"/>
                <w:sz w:val="19"/>
                <w:szCs w:val="19"/>
              </w:rPr>
              <w:t xml:space="preserve">Période réelle</w:t>
            </w:r>
          </w:p>
        </w:tc>
        <w:tc>
          <w:tcPr>
            <w:tcW w:type="dxa" w:w="1870"/>
            <w:shd w:fill="1f2937" w:color="auto" w:val="clear"/>
            <w:tcMar>
              <w:top w:type="dxa" w:w="60"/>
              <w:left w:type="dxa" w:w="100"/>
              <w:bottom w:type="dxa" w:w="60"/>
              <w:right w:type="dxa" w:w="100"/>
            </w:tcMar>
          </w:tcPr>
          <w:p>
            <w:r>
              <w:rPr>
                <w:b/>
                <w:bCs/>
                <w:color w:val="FFFFFF"/>
                <w:sz w:val="19"/>
                <w:szCs w:val="19"/>
              </w:rPr>
              <w:t xml:space="preserve">Contenu</w:t>
            </w:r>
          </w:p>
        </w:tc>
        <w:tc>
          <w:tcPr>
            <w:tcW w:type="dxa" w:w="1870"/>
            <w:shd w:fill="1f2937" w:color="auto" w:val="clear"/>
            <w:tcMar>
              <w:top w:type="dxa" w:w="60"/>
              <w:left w:type="dxa" w:w="100"/>
              <w:bottom w:type="dxa" w:w="60"/>
              <w:right w:type="dxa" w:w="100"/>
            </w:tcMar>
          </w:tcPr>
          <w:p>
            <w:r>
              <w:rPr>
                <w:b/>
                <w:bCs/>
                <w:color w:val="FFFFFF"/>
                <w:sz w:val="19"/>
                <w:szCs w:val="19"/>
              </w:rPr>
              <w:t xml:space="preserve">Charge estimée</w:t>
            </w:r>
          </w:p>
        </w:tc>
        <w:tc>
          <w:tcPr>
            <w:tcW w:type="dxa" w:w="1870"/>
            <w:shd w:fill="1f2937" w:color="auto" w:val="clear"/>
            <w:tcMar>
              <w:top w:type="dxa" w:w="60"/>
              <w:left w:type="dxa" w:w="100"/>
              <w:bottom w:type="dxa" w:w="60"/>
              <w:right w:type="dxa" w:w="100"/>
            </w:tcMar>
          </w:tcPr>
          <w:p>
            <w:r>
              <w:rPr>
                <w:b/>
                <w:bCs/>
                <w:color w:val="FFFFFF"/>
                <w:sz w:val="19"/>
                <w:szCs w:val="19"/>
              </w:rPr>
              <w:t xml:space="preserve">Statut</w:t>
            </w:r>
          </w:p>
        </w:tc>
      </w:tr>
      <w:tr>
        <w:trPr>
          <w:tblHeader w:val="false"/>
        </w:trPr>
        <w:tc>
          <w:tcPr>
            <w:tcW w:type="dxa" w:w="1870"/>
            <w:tcMar>
              <w:top w:type="dxa" w:w="60"/>
              <w:left w:type="dxa" w:w="100"/>
              <w:bottom w:type="dxa" w:w="60"/>
              <w:right w:type="dxa" w:w="100"/>
            </w:tcMar>
          </w:tcPr>
          <w:p>
            <w:r>
              <w:rPr>
                <w:sz w:val="21"/>
                <w:szCs w:val="21"/>
              </w:rPr>
              <w:t xml:space="preserve">1 — Amorçage</w:t>
            </w:r>
          </w:p>
        </w:tc>
        <w:tc>
          <w:tcPr>
            <w:tcW w:type="dxa" w:w="1870"/>
            <w:tcMar>
              <w:top w:type="dxa" w:w="60"/>
              <w:left w:type="dxa" w:w="100"/>
              <w:bottom w:type="dxa" w:w="60"/>
              <w:right w:type="dxa" w:w="100"/>
            </w:tcMar>
          </w:tcPr>
          <w:p>
            <w:r>
              <w:rPr>
                <w:sz w:val="21"/>
                <w:szCs w:val="21"/>
              </w:rPr>
              <w:t xml:space="preserve">01/04/2025</w:t>
            </w:r>
          </w:p>
        </w:tc>
        <w:tc>
          <w:tcPr>
            <w:tcW w:type="dxa" w:w="1870"/>
            <w:tcMar>
              <w:top w:type="dxa" w:w="60"/>
              <w:left w:type="dxa" w:w="100"/>
              <w:bottom w:type="dxa" w:w="60"/>
              <w:right w:type="dxa" w:w="100"/>
            </w:tcMar>
          </w:tcPr>
          <w:p>
            <w:r>
              <w:rPr>
                <w:sz w:val="21"/>
                <w:szCs w:val="21"/>
              </w:rPr>
              <w:t xml:space="preserve">Dépôt Git, README, périmètre initial</w:t>
            </w:r>
          </w:p>
        </w:tc>
        <w:tc>
          <w:tcPr>
            <w:tcW w:type="dxa" w:w="1870"/>
            <w:tcMar>
              <w:top w:type="dxa" w:w="60"/>
              <w:left w:type="dxa" w:w="100"/>
              <w:bottom w:type="dxa" w:w="60"/>
              <w:right w:type="dxa" w:w="100"/>
            </w:tcMar>
          </w:tcPr>
          <w:p>
            <w:r>
              <w:rPr>
                <w:sz w:val="21"/>
                <w:szCs w:val="21"/>
              </w:rPr>
              <w:t xml:space="preserve">2 h</w:t>
            </w:r>
          </w:p>
        </w:tc>
        <w:tc>
          <w:tcPr>
            <w:tcW w:type="dxa" w:w="1870"/>
            <w:tcMar>
              <w:top w:type="dxa" w:w="60"/>
              <w:left w:type="dxa" w:w="100"/>
              <w:bottom w:type="dxa" w:w="60"/>
              <w:right w:type="dxa" w:w="100"/>
            </w:tcMar>
          </w:tcPr>
          <w:p>
            <w:r>
              <w:rPr>
                <w:sz w:val="21"/>
                <w:szCs w:val="21"/>
              </w:rPr>
              <w:t xml:space="preserve">Terminé</w:t>
            </w:r>
          </w:p>
        </w:tc>
      </w:tr>
      <w:tr>
        <w:trPr>
          <w:tblHeader w:val="false"/>
        </w:trPr>
        <w:tc>
          <w:tcPr>
            <w:tcW w:type="dxa" w:w="1870"/>
            <w:tcMar>
              <w:top w:type="dxa" w:w="60"/>
              <w:left w:type="dxa" w:w="100"/>
              <w:bottom w:type="dxa" w:w="60"/>
              <w:right w:type="dxa" w:w="100"/>
            </w:tcMar>
          </w:tcPr>
          <w:p>
            <w:r>
              <w:rPr>
                <w:sz w:val="21"/>
                <w:szCs w:val="21"/>
              </w:rPr>
              <w:t xml:space="preserve">2 — Squelette technique</w:t>
            </w:r>
          </w:p>
        </w:tc>
        <w:tc>
          <w:tcPr>
            <w:tcW w:type="dxa" w:w="1870"/>
            <w:tcMar>
              <w:top w:type="dxa" w:w="60"/>
              <w:left w:type="dxa" w:w="100"/>
              <w:bottom w:type="dxa" w:w="60"/>
              <w:right w:type="dxa" w:w="100"/>
            </w:tcMar>
          </w:tcPr>
          <w:p>
            <w:r>
              <w:rPr>
                <w:sz w:val="21"/>
                <w:szCs w:val="21"/>
              </w:rPr>
              <w:t xml:space="preserve">08 → 17/04/2025</w:t>
            </w:r>
          </w:p>
        </w:tc>
        <w:tc>
          <w:tcPr>
            <w:tcW w:type="dxa" w:w="1870"/>
            <w:tcMar>
              <w:top w:type="dxa" w:w="60"/>
              <w:left w:type="dxa" w:w="100"/>
              <w:bottom w:type="dxa" w:w="60"/>
              <w:right w:type="dxa" w:w="100"/>
            </w:tcMar>
          </w:tcPr>
          <w:p>
            <w:r>
              <w:rPr>
                <w:sz w:val="21"/>
                <w:szCs w:val="21"/>
              </w:rPr>
              <w:t xml:space="preserve">Expérimentations dépôt, premier conteneur Docker, test webhook</w:t>
            </w:r>
          </w:p>
        </w:tc>
        <w:tc>
          <w:tcPr>
            <w:tcW w:type="dxa" w:w="1870"/>
            <w:tcMar>
              <w:top w:type="dxa" w:w="60"/>
              <w:left w:type="dxa" w:w="100"/>
              <w:bottom w:type="dxa" w:w="60"/>
              <w:right w:type="dxa" w:w="100"/>
            </w:tcMar>
          </w:tcPr>
          <w:p>
            <w:r>
              <w:rPr>
                <w:sz w:val="21"/>
                <w:szCs w:val="21"/>
              </w:rPr>
              <w:t xml:space="preserve">6 h</w:t>
            </w:r>
          </w:p>
        </w:tc>
        <w:tc>
          <w:tcPr>
            <w:tcW w:type="dxa" w:w="1870"/>
            <w:tcMar>
              <w:top w:type="dxa" w:w="60"/>
              <w:left w:type="dxa" w:w="100"/>
              <w:bottom w:type="dxa" w:w="60"/>
              <w:right w:type="dxa" w:w="100"/>
            </w:tcMar>
          </w:tcPr>
          <w:p>
            <w:r>
              <w:rPr>
                <w:sz w:val="21"/>
                <w:szCs w:val="21"/>
              </w:rPr>
              <w:t xml:space="preserve">Terminé</w:t>
            </w:r>
          </w:p>
        </w:tc>
      </w:tr>
      <w:tr>
        <w:trPr>
          <w:tblHeader w:val="false"/>
        </w:trPr>
        <w:tc>
          <w:tcPr>
            <w:tcW w:type="dxa" w:w="1870"/>
            <w:tcMar>
              <w:top w:type="dxa" w:w="60"/>
              <w:left w:type="dxa" w:w="100"/>
              <w:bottom w:type="dxa" w:w="60"/>
              <w:right w:type="dxa" w:w="100"/>
            </w:tcMar>
          </w:tcPr>
          <w:p>
            <w:r>
              <w:rPr>
                <w:sz w:val="21"/>
                <w:szCs w:val="21"/>
              </w:rPr>
              <w:t xml:space="preserve">3 — Authentification SSO</w:t>
            </w:r>
          </w:p>
        </w:tc>
        <w:tc>
          <w:tcPr>
            <w:tcW w:type="dxa" w:w="1870"/>
            <w:tcMar>
              <w:top w:type="dxa" w:w="60"/>
              <w:left w:type="dxa" w:w="100"/>
              <w:bottom w:type="dxa" w:w="60"/>
              <w:right w:type="dxa" w:w="100"/>
            </w:tcMar>
          </w:tcPr>
          <w:p>
            <w:r>
              <w:rPr>
                <w:sz w:val="21"/>
                <w:szCs w:val="21"/>
              </w:rPr>
              <w:t xml:space="preserve">13/05/2025</w:t>
            </w:r>
          </w:p>
        </w:tc>
        <w:tc>
          <w:tcPr>
            <w:tcW w:type="dxa" w:w="1870"/>
            <w:tcMar>
              <w:top w:type="dxa" w:w="60"/>
              <w:left w:type="dxa" w:w="100"/>
              <w:bottom w:type="dxa" w:w="60"/>
              <w:right w:type="dxa" w:w="100"/>
            </w:tcMar>
          </w:tcPr>
          <w:p>
            <w:r>
              <w:rPr>
                <w:sz w:val="21"/>
                <w:szCs w:val="21"/>
              </w:rPr>
              <w:t xml:space="preserve">Keycloak + Caddy fonctionnels, debug hostname</w:t>
            </w:r>
          </w:p>
        </w:tc>
        <w:tc>
          <w:tcPr>
            <w:tcW w:type="dxa" w:w="1870"/>
            <w:tcMar>
              <w:top w:type="dxa" w:w="60"/>
              <w:left w:type="dxa" w:w="100"/>
              <w:bottom w:type="dxa" w:w="60"/>
              <w:right w:type="dxa" w:w="100"/>
            </w:tcMar>
          </w:tcPr>
          <w:p>
            <w:r>
              <w:rPr>
                <w:sz w:val="21"/>
                <w:szCs w:val="21"/>
              </w:rPr>
              <w:t xml:space="preserve">8 h</w:t>
            </w:r>
          </w:p>
        </w:tc>
        <w:tc>
          <w:tcPr>
            <w:tcW w:type="dxa" w:w="1870"/>
            <w:tcMar>
              <w:top w:type="dxa" w:w="60"/>
              <w:left w:type="dxa" w:w="100"/>
              <w:bottom w:type="dxa" w:w="60"/>
              <w:right w:type="dxa" w:w="100"/>
            </w:tcMar>
          </w:tcPr>
          <w:p>
            <w:r>
              <w:rPr>
                <w:sz w:val="21"/>
                <w:szCs w:val="21"/>
              </w:rPr>
              <w:t xml:space="preserve">Terminé</w:t>
            </w:r>
          </w:p>
        </w:tc>
      </w:tr>
      <w:tr>
        <w:trPr>
          <w:tblHeader w:val="false"/>
        </w:trPr>
        <w:tc>
          <w:tcPr>
            <w:tcW w:type="dxa" w:w="1870"/>
            <w:tcMar>
              <w:top w:type="dxa" w:w="60"/>
              <w:left w:type="dxa" w:w="100"/>
              <w:bottom w:type="dxa" w:w="60"/>
              <w:right w:type="dxa" w:w="100"/>
            </w:tcMar>
          </w:tcPr>
          <w:p>
            <w:r>
              <w:rPr>
                <w:sz w:val="21"/>
                <w:szCs w:val="21"/>
              </w:rPr>
              <w:t xml:space="preserve">4 — Intégration outils tiers</w:t>
            </w:r>
          </w:p>
        </w:tc>
        <w:tc>
          <w:tcPr>
            <w:tcW w:type="dxa" w:w="1870"/>
            <w:tcMar>
              <w:top w:type="dxa" w:w="60"/>
              <w:left w:type="dxa" w:w="100"/>
              <w:bottom w:type="dxa" w:w="60"/>
              <w:right w:type="dxa" w:w="100"/>
            </w:tcMar>
          </w:tcPr>
          <w:p>
            <w:r>
              <w:rPr>
                <w:sz w:val="21"/>
                <w:szCs w:val="21"/>
              </w:rPr>
              <w:t xml:space="preserve">16 → 19/05/2025</w:t>
            </w:r>
          </w:p>
        </w:tc>
        <w:tc>
          <w:tcPr>
            <w:tcW w:type="dxa" w:w="1870"/>
            <w:tcMar>
              <w:top w:type="dxa" w:w="60"/>
              <w:left w:type="dxa" w:w="100"/>
              <w:bottom w:type="dxa" w:w="60"/>
              <w:right w:type="dxa" w:w="100"/>
            </w:tcMar>
          </w:tcPr>
          <w:p>
            <w:r>
              <w:rPr>
                <w:sz w:val="21"/>
                <w:szCs w:val="21"/>
              </w:rPr>
              <w:t xml:space="preserve">Mattermost (chat/Kanban), affichage utilisateur, widgets, jalon "front=ok/back=ok/docker=ok"</w:t>
            </w:r>
          </w:p>
        </w:tc>
        <w:tc>
          <w:tcPr>
            <w:tcW w:type="dxa" w:w="1870"/>
            <w:tcMar>
              <w:top w:type="dxa" w:w="60"/>
              <w:left w:type="dxa" w:w="100"/>
              <w:bottom w:type="dxa" w:w="60"/>
              <w:right w:type="dxa" w:w="100"/>
            </w:tcMar>
          </w:tcPr>
          <w:p>
            <w:r>
              <w:rPr>
                <w:sz w:val="21"/>
                <w:szCs w:val="21"/>
              </w:rPr>
              <w:t xml:space="preserve">14 h</w:t>
            </w:r>
          </w:p>
        </w:tc>
        <w:tc>
          <w:tcPr>
            <w:tcW w:type="dxa" w:w="1870"/>
            <w:tcMar>
              <w:top w:type="dxa" w:w="60"/>
              <w:left w:type="dxa" w:w="100"/>
              <w:bottom w:type="dxa" w:w="60"/>
              <w:right w:type="dxa" w:w="100"/>
            </w:tcMar>
          </w:tcPr>
          <w:p>
            <w:r>
              <w:rPr>
                <w:sz w:val="21"/>
                <w:szCs w:val="21"/>
              </w:rPr>
              <w:t xml:space="preserve">Terminé</w:t>
            </w:r>
          </w:p>
        </w:tc>
      </w:tr>
      <w:tr>
        <w:trPr>
          <w:tblHeader w:val="false"/>
        </w:trPr>
        <w:tc>
          <w:tcPr>
            <w:tcW w:type="dxa" w:w="1870"/>
            <w:tcMar>
              <w:top w:type="dxa" w:w="60"/>
              <w:left w:type="dxa" w:w="100"/>
              <w:bottom w:type="dxa" w:w="60"/>
              <w:right w:type="dxa" w:w="100"/>
            </w:tcMar>
          </w:tcPr>
          <w:p>
            <w:r>
              <w:rPr>
                <w:sz w:val="21"/>
                <w:szCs w:val="21"/>
              </w:rPr>
              <w:t xml:space="preserve">5 — Pause / reprise</w:t>
            </w:r>
          </w:p>
        </w:tc>
        <w:tc>
          <w:tcPr>
            <w:tcW w:type="dxa" w:w="1870"/>
            <w:tcMar>
              <w:top w:type="dxa" w:w="60"/>
              <w:left w:type="dxa" w:w="100"/>
              <w:bottom w:type="dxa" w:w="60"/>
              <w:right w:type="dxa" w:w="100"/>
            </w:tcMar>
          </w:tcPr>
          <w:p>
            <w:r>
              <w:rPr>
                <w:sz w:val="21"/>
                <w:szCs w:val="21"/>
              </w:rPr>
              <w:t xml:space="preserve">20/05 → 03/10/2025</w:t>
            </w:r>
          </w:p>
        </w:tc>
        <w:tc>
          <w:tcPr>
            <w:tcW w:type="dxa" w:w="1870"/>
            <w:tcMar>
              <w:top w:type="dxa" w:w="60"/>
              <w:left w:type="dxa" w:w="100"/>
              <w:bottom w:type="dxa" w:w="60"/>
              <w:right w:type="dxa" w:w="100"/>
            </w:tcMar>
          </w:tcPr>
          <w:p>
            <w:r>
              <w:rPr>
                <w:sz w:val="21"/>
                <w:szCs w:val="21"/>
              </w:rPr>
              <w:t xml:space="preserve">Rentrée académique B3 (spécialité Robotique), hygiène dépôt (.gitignore)</w:t>
            </w:r>
          </w:p>
        </w:tc>
        <w:tc>
          <w:tcPr>
            <w:tcW w:type="dxa" w:w="1870"/>
            <w:tcMar>
              <w:top w:type="dxa" w:w="60"/>
              <w:left w:type="dxa" w:w="100"/>
              <w:bottom w:type="dxa" w:w="60"/>
              <w:right w:type="dxa" w:w="100"/>
            </w:tcMar>
          </w:tcPr>
          <w:p>
            <w:r>
              <w:rPr>
                <w:sz w:val="21"/>
                <w:szCs w:val="21"/>
              </w:rPr>
              <w:t xml:space="preserve">—</w:t>
            </w:r>
          </w:p>
        </w:tc>
        <w:tc>
          <w:tcPr>
            <w:tcW w:type="dxa" w:w="1870"/>
            <w:tcMar>
              <w:top w:type="dxa" w:w="60"/>
              <w:left w:type="dxa" w:w="100"/>
              <w:bottom w:type="dxa" w:w="60"/>
              <w:right w:type="dxa" w:w="100"/>
            </w:tcMar>
          </w:tcPr>
          <w:p>
            <w:r>
              <w:rPr>
                <w:sz w:val="21"/>
                <w:szCs w:val="21"/>
              </w:rPr>
              <w:t xml:space="preserve">—</w:t>
            </w:r>
          </w:p>
        </w:tc>
      </w:tr>
      <w:tr>
        <w:trPr>
          <w:tblHeader w:val="false"/>
        </w:trPr>
        <w:tc>
          <w:tcPr>
            <w:tcW w:type="dxa" w:w="1870"/>
            <w:tcMar>
              <w:top w:type="dxa" w:w="60"/>
              <w:left w:type="dxa" w:w="100"/>
              <w:bottom w:type="dxa" w:w="60"/>
              <w:right w:type="dxa" w:w="100"/>
            </w:tcMar>
          </w:tcPr>
          <w:p>
            <w:r>
              <w:rPr>
                <w:sz w:val="21"/>
                <w:szCs w:val="21"/>
              </w:rPr>
              <w:t xml:space="preserve">6 — Refonte dashboard</w:t>
            </w:r>
          </w:p>
        </w:tc>
        <w:tc>
          <w:tcPr>
            <w:tcW w:type="dxa" w:w="1870"/>
            <w:tcMar>
              <w:top w:type="dxa" w:w="60"/>
              <w:left w:type="dxa" w:w="100"/>
              <w:bottom w:type="dxa" w:w="60"/>
              <w:right w:type="dxa" w:w="100"/>
            </w:tcMar>
          </w:tcPr>
          <w:p>
            <w:r>
              <w:rPr>
                <w:sz w:val="21"/>
                <w:szCs w:val="21"/>
              </w:rPr>
              <w:t xml:space="preserve">16/12/2025</w:t>
            </w:r>
          </w:p>
        </w:tc>
        <w:tc>
          <w:tcPr>
            <w:tcW w:type="dxa" w:w="1870"/>
            <w:tcMar>
              <w:top w:type="dxa" w:w="60"/>
              <w:left w:type="dxa" w:w="100"/>
              <w:bottom w:type="dxa" w:w="60"/>
              <w:right w:type="dxa" w:w="100"/>
            </w:tcMar>
          </w:tcPr>
          <w:p>
            <w:r>
              <w:rPr>
                <w:sz w:val="21"/>
                <w:szCs w:val="21"/>
              </w:rPr>
              <w:t xml:space="preserve">Migration vers modèle </w:t>
            </w:r>
            <w:r>
              <w:rPr>
                <w:rFonts w:ascii="Consolas" w:cs="Consolas" w:eastAsia="Consolas" w:hAnsi="Consolas"/>
                <w:color w:val="1f2937"/>
                <w:sz w:val="19"/>
                <w:szCs w:val="19"/>
              </w:rPr>
              <w:t xml:space="preserve">Block</w:t>
            </w:r>
            <w:r>
              <w:rPr>
                <w:sz w:val="21"/>
                <w:szCs w:val="21"/>
              </w:rPr>
              <w:t xml:space="preserve"> généralisé, drag &amp; drop, API layout</w:t>
            </w:r>
          </w:p>
        </w:tc>
        <w:tc>
          <w:tcPr>
            <w:tcW w:type="dxa" w:w="1870"/>
            <w:tcMar>
              <w:top w:type="dxa" w:w="60"/>
              <w:left w:type="dxa" w:w="100"/>
              <w:bottom w:type="dxa" w:w="60"/>
              <w:right w:type="dxa" w:w="100"/>
            </w:tcMar>
          </w:tcPr>
          <w:p>
            <w:r>
              <w:rPr>
                <w:sz w:val="21"/>
                <w:szCs w:val="21"/>
              </w:rPr>
              <w:t xml:space="preserve">6 h</w:t>
            </w:r>
          </w:p>
        </w:tc>
        <w:tc>
          <w:tcPr>
            <w:tcW w:type="dxa" w:w="1870"/>
            <w:tcMar>
              <w:top w:type="dxa" w:w="60"/>
              <w:left w:type="dxa" w:w="100"/>
              <w:bottom w:type="dxa" w:w="60"/>
              <w:right w:type="dxa" w:w="100"/>
            </w:tcMar>
          </w:tcPr>
          <w:p>
            <w:r>
              <w:rPr>
                <w:sz w:val="21"/>
                <w:szCs w:val="21"/>
              </w:rPr>
              <w:t xml:space="preserve">Terminé</w:t>
            </w:r>
          </w:p>
        </w:tc>
      </w:tr>
      <w:tr>
        <w:trPr>
          <w:tblHeader w:val="false"/>
        </w:trPr>
        <w:tc>
          <w:tcPr>
            <w:tcW w:type="dxa" w:w="1870"/>
            <w:tcMar>
              <w:top w:type="dxa" w:w="60"/>
              <w:left w:type="dxa" w:w="100"/>
              <w:bottom w:type="dxa" w:w="60"/>
              <w:right w:type="dxa" w:w="100"/>
            </w:tcMar>
          </w:tcPr>
          <w:p>
            <w:r>
              <w:rPr>
                <w:sz w:val="21"/>
                <w:szCs w:val="21"/>
              </w:rPr>
              <w:t xml:space="preserve">7 — Consolidation architecture (préparation RNCP)</w:t>
            </w:r>
          </w:p>
        </w:tc>
        <w:tc>
          <w:tcPr>
            <w:tcW w:type="dxa" w:w="1870"/>
            <w:tcMar>
              <w:top w:type="dxa" w:w="60"/>
              <w:left w:type="dxa" w:w="100"/>
              <w:bottom w:type="dxa" w:w="60"/>
              <w:right w:type="dxa" w:w="100"/>
            </w:tcMar>
          </w:tcPr>
          <w:p>
            <w:r>
              <w:rPr>
                <w:sz w:val="21"/>
                <w:szCs w:val="21"/>
              </w:rPr>
              <w:t xml:space="preserve">01/2026 → 08/2026</w:t>
            </w:r>
          </w:p>
        </w:tc>
        <w:tc>
          <w:tcPr>
            <w:tcW w:type="dxa" w:w="1870"/>
            <w:tcMar>
              <w:top w:type="dxa" w:w="60"/>
              <w:left w:type="dxa" w:w="100"/>
              <w:bottom w:type="dxa" w:w="60"/>
              <w:right w:type="dxa" w:w="100"/>
            </w:tcMar>
          </w:tcPr>
          <w:p>
            <w:r>
              <w:rPr>
                <w:sz w:val="21"/>
                <w:szCs w:val="21"/>
              </w:rPr>
              <w:t xml:space="preserve">Découpage en couches routes/services/models, Repository Pattern, modules Annonces/Fichiers/Planning, audit_log, sécurité</w:t>
            </w:r>
          </w:p>
        </w:tc>
        <w:tc>
          <w:tcPr>
            <w:tcW w:type="dxa" w:w="1870"/>
            <w:tcMar>
              <w:top w:type="dxa" w:w="60"/>
              <w:left w:type="dxa" w:w="100"/>
              <w:bottom w:type="dxa" w:w="60"/>
              <w:right w:type="dxa" w:w="100"/>
            </w:tcMar>
          </w:tcPr>
          <w:p>
            <w:r>
              <w:rPr>
                <w:sz w:val="21"/>
                <w:szCs w:val="21"/>
              </w:rPr>
              <w:t xml:space="preserve">20 h</w:t>
            </w:r>
          </w:p>
        </w:tc>
        <w:tc>
          <w:tcPr>
            <w:tcW w:type="dxa" w:w="1870"/>
            <w:tcMar>
              <w:top w:type="dxa" w:w="60"/>
              <w:left w:type="dxa" w:w="100"/>
              <w:bottom w:type="dxa" w:w="60"/>
              <w:right w:type="dxa" w:w="100"/>
            </w:tcMar>
          </w:tcPr>
          <w:p>
            <w:r>
              <w:rPr>
                <w:sz w:val="21"/>
                <w:szCs w:val="21"/>
              </w:rPr>
              <w:t xml:space="preserve">Terminé</w:t>
            </w:r>
          </w:p>
        </w:tc>
      </w:tr>
      <w:tr>
        <w:trPr>
          <w:tblHeader w:val="false"/>
        </w:trPr>
        <w:tc>
          <w:tcPr>
            <w:tcW w:type="dxa" w:w="1870"/>
            <w:tcMar>
              <w:top w:type="dxa" w:w="60"/>
              <w:left w:type="dxa" w:w="100"/>
              <w:bottom w:type="dxa" w:w="60"/>
              <w:right w:type="dxa" w:w="100"/>
            </w:tcMar>
          </w:tcPr>
          <w:p>
            <w:r>
              <w:rPr>
                <w:sz w:val="21"/>
                <w:szCs w:val="21"/>
              </w:rPr>
              <w:t xml:space="preserve">8 — Qualité et preuve (dossier RNCP)</w:t>
            </w:r>
          </w:p>
        </w:tc>
        <w:tc>
          <w:tcPr>
            <w:tcW w:type="dxa" w:w="1870"/>
            <w:tcMar>
              <w:top w:type="dxa" w:w="60"/>
              <w:left w:type="dxa" w:w="100"/>
              <w:bottom w:type="dxa" w:w="60"/>
              <w:right w:type="dxa" w:w="100"/>
            </w:tcMar>
          </w:tcPr>
          <w:p>
            <w:r>
              <w:rPr>
                <w:sz w:val="21"/>
                <w:szCs w:val="21"/>
              </w:rPr>
              <w:t xml:space="preserve">08/2026</w:t>
            </w:r>
          </w:p>
        </w:tc>
        <w:tc>
          <w:tcPr>
            <w:tcW w:type="dxa" w:w="1870"/>
            <w:tcMar>
              <w:top w:type="dxa" w:w="60"/>
              <w:left w:type="dxa" w:w="100"/>
              <w:bottom w:type="dxa" w:w="60"/>
              <w:right w:type="dxa" w:w="100"/>
            </w:tcMar>
          </w:tcPr>
          <w:p>
            <w:r>
              <w:rPr>
                <w:sz w:val="21"/>
                <w:szCs w:val="21"/>
              </w:rPr>
              <w:t xml:space="preserve">Suite de tests pytest (34 cas), flake8/radon, rétro-documentation, dossier technique v2</w:t>
            </w:r>
          </w:p>
        </w:tc>
        <w:tc>
          <w:tcPr>
            <w:tcW w:type="dxa" w:w="1870"/>
            <w:tcMar>
              <w:top w:type="dxa" w:w="60"/>
              <w:left w:type="dxa" w:w="100"/>
              <w:bottom w:type="dxa" w:w="60"/>
              <w:right w:type="dxa" w:w="100"/>
            </w:tcMar>
          </w:tcPr>
          <w:p>
            <w:r>
              <w:rPr>
                <w:sz w:val="21"/>
                <w:szCs w:val="21"/>
              </w:rPr>
              <w:t xml:space="preserve">12 h</w:t>
            </w:r>
          </w:p>
        </w:tc>
        <w:tc>
          <w:tcPr>
            <w:tcW w:type="dxa" w:w="1870"/>
            <w:tcMar>
              <w:top w:type="dxa" w:w="60"/>
              <w:left w:type="dxa" w:w="100"/>
              <w:bottom w:type="dxa" w:w="60"/>
              <w:right w:type="dxa" w:w="100"/>
            </w:tcMar>
          </w:tcPr>
          <w:p>
            <w:r>
              <w:rPr>
                <w:sz w:val="21"/>
                <w:szCs w:val="21"/>
              </w:rPr>
              <w:t xml:space="preserve">Terminé</w:t>
            </w:r>
          </w:p>
        </w:tc>
      </w:tr>
    </w:tbl>
    <w:p>
      <w:pPr>
        <w:spacing w:after="160"/>
      </w:pPr>
    </w:p>
    <w:p>
      <w:pPr>
        <w:spacing w:after="120"/>
      </w:pPr>
      <w:r>
        <w:rPr>
          <w:b/>
          <w:bCs/>
          <w:sz w:val="21"/>
          <w:szCs w:val="21"/>
        </w:rPr>
        <w:t xml:space="preserve">Total estimé : ≈ 68 h</w:t>
      </w:r>
      <w:r>
        <w:rPr>
          <w:sz w:val="21"/>
          <w:szCs w:val="21"/>
        </w:rPr>
        <w:t xml:space="preserve"> de travail effectif, réparties sur environ 8 mois et demi calendaires (avril 2025 → août 2026) — cohérent avec un développement en temps partiel, par sessions ponctuelles (ydays, weekends), en parallèle des cours et projets Ynov.</w:t>
      </w:r>
    </w:p>
    <w:p>
      <w:pPr>
        <w:pStyle w:val="Heading2"/>
        <w:spacing w:after="140" w:before="300"/>
      </w:pPr>
      <w:r>
        <w:t xml:space="preserve">Méthode d'estimation</w:t>
      </w:r>
    </w:p>
    <w:p>
      <w:pPr>
        <w:spacing w:after="120"/>
      </w:pPr>
      <w:r>
        <w:rPr>
          <w:sz w:val="21"/>
          <w:szCs w:val="21"/>
        </w:rPr>
        <w:t xml:space="preserve">L'estimation des charges par phase s'est faite de manière empirique : décomposition de chaque phase en tâches élémentaires, estimation en heures effectives (et non en jours calendaires, qui incluraient les temps morts entre sessions), puis application d'un coefficient correcteur de 1,5 pour tenir compte des imprévus et de la courbe d'apprentissage sur les technologies nouvelles (Keycloak, Docker, OIDC). Cette approche empirique et itérative — réestimer à chaque session plutôt qu'une fois pour tout le projet — est cohérente avec les pratiques Agile évoquées au Bloc 2 (C7, C8).</w:t>
      </w:r>
    </w:p>
    <w:p>
      <w:pPr>
        <w:pStyle w:val="Heading1"/>
        <w:pageBreakBefore/>
        <w:spacing w:after="160" w:before="360"/>
      </w:pPr>
      <w:r>
        <w:t xml:space="preserve">Captures d'écran de l'application</w:t>
      </w:r>
    </w:p>
    <w:p>
      <w:pPr>
        <w:spacing w:after="120"/>
      </w:pPr>
      <w:r>
        <w:rPr>
          <w:sz w:val="21"/>
          <w:szCs w:val="21"/>
        </w:rPr>
        <w:t xml:space="preserve">Captures réelles de </w:t>
      </w:r>
      <w:r>
        <w:rPr>
          <w:rFonts w:ascii="Consolas" w:cs="Consolas" w:eastAsia="Consolas" w:hAnsi="Consolas"/>
          <w:color w:val="1f2937"/>
          <w:sz w:val="19"/>
          <w:szCs w:val="19"/>
        </w:rPr>
        <w:t xml:space="preserve">gesthub-v2</w:t>
      </w:r>
      <w:r>
        <w:rPr>
          <w:sz w:val="21"/>
          <w:szCs w:val="21"/>
        </w:rPr>
        <w:t xml:space="preserve"> exécutée dans un environnement de démonstration (Flask + MariaDB réels, Keycloak simulé par un cookie de session signé avec la même clé secrète — un vrai serveur Keycloak n'étant pas disponible dans cet environnement de rédaction). Le rendu HTML, le CSS, le contrôle des rôles et les données affichées sont, eux, entièrement réels et proviennent du code livré.</w:t>
      </w:r>
    </w:p>
    <w:p>
      <w:pPr>
        <w:pStyle w:val="Heading2"/>
        <w:spacing w:after="140" w:before="300"/>
      </w:pPr>
      <w:r>
        <w:t xml:space="preserve">Tableau de bord — vue administrateur</w:t>
      </w:r>
    </w:p>
    <w:p>
      <w:pPr>
        <w:spacing w:after="120"/>
      </w:pPr>
      <w:r>
        <w:rPr>
          <w:sz w:val="21"/>
          <w:szCs w:val="21"/>
        </w:rPr>
        <w:t xml:space="preserve">Le bandeau supérieur affiche le nom d'utilisateur (</w:t>
      </w:r>
      <w:r>
        <w:rPr>
          <w:rFonts w:ascii="Consolas" w:cs="Consolas" w:eastAsia="Consolas" w:hAnsi="Consolas"/>
          <w:color w:val="1f2937"/>
          <w:sz w:val="19"/>
          <w:szCs w:val="19"/>
        </w:rPr>
        <w:t xml:space="preserve">preferred_username</w:t>
      </w:r>
      <w:r>
        <w:rPr>
          <w:sz w:val="21"/>
          <w:szCs w:val="21"/>
        </w:rPr>
        <w:t xml:space="preserve">) et le lien de déconnexion. La barre d'outils "Mode Édition" (bas de l'écran) n'est visible que pour les comptes du groupe Keycloak </w:t>
      </w:r>
      <w:r>
        <w:rPr>
          <w:rFonts w:ascii="Consolas" w:cs="Consolas" w:eastAsia="Consolas" w:hAnsi="Consolas"/>
          <w:color w:val="1f2937"/>
          <w:sz w:val="19"/>
          <w:szCs w:val="19"/>
        </w:rPr>
        <w:t xml:space="preserve">/admin</w:t>
      </w:r>
      <w:r>
        <w:rPr>
          <w:sz w:val="21"/>
          <w:szCs w:val="21"/>
        </w:rPr>
        <w:t xml:space="preserve"> — c'est le rendu concret de </w:t>
      </w:r>
      <w:r>
        <w:rPr>
          <w:rFonts w:ascii="Consolas" w:cs="Consolas" w:eastAsia="Consolas" w:hAnsi="Consolas"/>
          <w:color w:val="1f2937"/>
          <w:sz w:val="19"/>
          <w:szCs w:val="19"/>
        </w:rPr>
        <w:t xml:space="preserve">services/auth_service.require_admin</w:t>
      </w:r>
      <w:r>
        <w:rPr>
          <w:sz w:val="21"/>
          <w:szCs w:val="21"/>
        </w:rPr>
        <w:t xml:space="preserve"> côté serveur et de </w:t>
      </w:r>
      <w:r>
        <w:rPr>
          <w:rFonts w:ascii="Consolas" w:cs="Consolas" w:eastAsia="Consolas" w:hAnsi="Consolas"/>
          <w:color w:val="1f2937"/>
          <w:sz w:val="19"/>
          <w:szCs w:val="19"/>
        </w:rPr>
        <w:t xml:space="preserve">api_is_admin</w:t>
      </w:r>
      <w:r>
        <w:rPr>
          <w:sz w:val="21"/>
          <w:szCs w:val="21"/>
        </w:rPr>
        <w:t xml:space="preserve"> côté client.</w:t>
      </w:r>
    </w:p>
    <w:p>
      <w:pPr>
        <w:spacing w:after="80" w:before="200"/>
        <w:jc w:val="center"/>
      </w:pPr>
      <w:r>
        <w:drawing>
          <wp:inline distT="0" distB="0" distL="0" distR="0">
            <wp:extent cx="5334000" cy="3619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3619500"/>
                    </a:xfrm>
                    <a:prstGeom prst="rect">
                      <a:avLst/>
                    </a:prstGeom>
                  </pic:spPr>
                </pic:pic>
              </a:graphicData>
            </a:graphic>
          </wp:inline>
        </w:drawing>
      </w:r>
    </w:p>
    <w:p>
      <w:pPr>
        <w:spacing w:after="200"/>
        <w:jc w:val="center"/>
      </w:pPr>
      <w:r>
        <w:rPr>
          <w:i/>
          <w:iCs/>
          <w:color w:val="6B7280"/>
          <w:sz w:val="18"/>
          <w:szCs w:val="18"/>
        </w:rPr>
        <w:t xml:space="preserve">Tableau de bord — session administrateur</w:t>
      </w:r>
    </w:p>
    <w:p>
      <w:pPr>
        <w:pStyle w:val="Heading2"/>
        <w:spacing w:after="140" w:before="300"/>
      </w:pPr>
      <w:r>
        <w:t xml:space="preserve">Tableau de bord — vue utilisateur standard</w:t>
      </w:r>
    </w:p>
    <w:p>
      <w:pPr>
        <w:spacing w:after="120"/>
      </w:pPr>
      <w:r>
        <w:rPr>
          <w:sz w:val="21"/>
          <w:szCs w:val="21"/>
        </w:rPr>
        <w:t xml:space="preserve">Même page, session sans le groupe </w:t>
      </w:r>
      <w:r>
        <w:rPr>
          <w:rFonts w:ascii="Consolas" w:cs="Consolas" w:eastAsia="Consolas" w:hAnsi="Consolas"/>
          <w:color w:val="1f2937"/>
          <w:sz w:val="19"/>
          <w:szCs w:val="19"/>
        </w:rPr>
        <w:t xml:space="preserve">/admin</w:t>
      </w:r>
      <w:r>
        <w:rPr>
          <w:sz w:val="21"/>
          <w:szCs w:val="21"/>
        </w:rPr>
        <w:t xml:space="preserve"> : le widget de boutons (colonne de droite, persisté en base via </w:t>
      </w:r>
      <w:r>
        <w:rPr>
          <w:rFonts w:ascii="Consolas" w:cs="Consolas" w:eastAsia="Consolas" w:hAnsi="Consolas"/>
          <w:color w:val="1f2937"/>
          <w:sz w:val="19"/>
          <w:szCs w:val="19"/>
        </w:rPr>
        <w:t xml:space="preserve">blocks</w:t>
      </w:r>
      <w:r>
        <w:rPr>
          <w:sz w:val="21"/>
          <w:szCs w:val="21"/>
        </w:rPr>
        <w:t xml:space="preserve">) reste visible, mais la barre d'édition est absente.</w:t>
      </w:r>
    </w:p>
    <w:p>
      <w:pPr>
        <w:spacing w:after="80" w:before="200"/>
        <w:jc w:val="center"/>
      </w:pPr>
      <w:r>
        <w:drawing>
          <wp:inline distT="0" distB="0" distL="0" distR="0">
            <wp:extent cx="5334000" cy="3619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0" cy="3619500"/>
                    </a:xfrm>
                    <a:prstGeom prst="rect">
                      <a:avLst/>
                    </a:prstGeom>
                  </pic:spPr>
                </pic:pic>
              </a:graphicData>
            </a:graphic>
          </wp:inline>
        </w:drawing>
      </w:r>
    </w:p>
    <w:p>
      <w:pPr>
        <w:spacing w:after="200"/>
        <w:jc w:val="center"/>
      </w:pPr>
      <w:r>
        <w:rPr>
          <w:i/>
          <w:iCs/>
          <w:color w:val="6B7280"/>
          <w:sz w:val="18"/>
          <w:szCs w:val="18"/>
        </w:rPr>
        <w:t xml:space="preserve">Tableau de bord — session utilisateur standard</w:t>
      </w:r>
    </w:p>
    <w:p>
      <w:pPr>
        <w:pStyle w:val="Heading2"/>
        <w:spacing w:after="140" w:before="300"/>
      </w:pPr>
      <w:r>
        <w:t xml:space="preserve">Page d'erreur 404</w:t>
      </w:r>
    </w:p>
    <w:p>
      <w:pPr>
        <w:spacing w:after="120"/>
      </w:pPr>
      <w:r>
        <w:rPr>
          <w:sz w:val="21"/>
          <w:szCs w:val="21"/>
        </w:rPr>
        <w:t xml:space="preserve">Gestionnaire d'erreur global (</w:t>
      </w:r>
      <w:r>
        <w:rPr>
          <w:rFonts w:ascii="Consolas" w:cs="Consolas" w:eastAsia="Consolas" w:hAnsi="Consolas"/>
          <w:color w:val="1f2937"/>
          <w:sz w:val="19"/>
          <w:szCs w:val="19"/>
        </w:rPr>
        <w:t xml:space="preserve">app.py::register_error_handlers</w:t>
      </w:r>
      <w:r>
        <w:rPr>
          <w:sz w:val="21"/>
          <w:szCs w:val="21"/>
        </w:rPr>
        <w:t xml:space="preserve">), rendu HTML sans exposition d'information technique sensible (pas de trace Python visible).</w:t>
      </w:r>
    </w:p>
    <w:p>
      <w:pPr>
        <w:spacing w:after="80" w:before="200"/>
        <w:jc w:val="center"/>
      </w:pPr>
      <w:r>
        <w:drawing>
          <wp:inline distT="0" distB="0" distL="0" distR="0">
            <wp:extent cx="533400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3333750"/>
                    </a:xfrm>
                    <a:prstGeom prst="rect">
                      <a:avLst/>
                    </a:prstGeom>
                  </pic:spPr>
                </pic:pic>
              </a:graphicData>
            </a:graphic>
          </wp:inline>
        </w:drawing>
      </w:r>
    </w:p>
    <w:p>
      <w:pPr>
        <w:spacing w:after="200"/>
        <w:jc w:val="center"/>
      </w:pPr>
      <w:r>
        <w:rPr>
          <w:i/>
          <w:iCs/>
          <w:color w:val="6B7280"/>
          <w:sz w:val="18"/>
          <w:szCs w:val="18"/>
        </w:rPr>
        <w:t xml:space="preserve">Page 404 personnalisée</w:t>
      </w:r>
    </w:p>
    <w:p>
      <w:pPr>
        <w:pStyle w:val="Heading1"/>
        <w:pageBreakBefore/>
        <w:spacing w:after="160" w:before="360"/>
      </w:pPr>
      <w:r>
        <w:t xml:space="preserve">Table de correspondance et de cohérence avec le dossier RNCP narratif</w:t>
      </w:r>
    </w:p>
    <w:p>
      <w:pPr>
        <w:spacing w:after="120"/>
      </w:pPr>
      <w:r>
        <w:rPr>
          <w:sz w:val="21"/>
          <w:szCs w:val="21"/>
        </w:rPr>
        <w:t xml:space="preserve">Cette dernière section fait le lien explicite entre chaque référence citée dans la Partie 2 du dossier RNCP narratif (« Portefeuille de preuves ») et l'endroit précis de ce document technique où elle est traitée. Elle signale aussi les quelques points de cohérence à corriger dans le dossier narratif avant dépôt.</w:t>
      </w:r>
    </w:p>
    <w:p>
      <w:pPr>
        <w:pStyle w:val="Heading2"/>
        <w:spacing w:after="140" w:before="300"/>
      </w:pPr>
      <w:r>
        <w:t xml:space="preserve">Table de correspondance</w:t>
      </w:r>
    </w:p>
    <w:tbl>
      <w:tblPr>
        <w:tblW w:type="dxa" w:w="9350"/>
        <w:tblBorders>
          <w:top w:val="single" w:color="9CA3AF" w:sz="2"/>
          <w:left w:val="single" w:color="9CA3AF" w:sz="2"/>
          <w:bottom w:val="single" w:color="9CA3AF" w:sz="2"/>
          <w:right w:val="single" w:color="9CA3AF" w:sz="2"/>
          <w:insideH w:val="single" w:color="D1D5DB" w:sz="2"/>
          <w:insideV w:val="single" w:color="D1D5DB" w:sz="2"/>
        </w:tblBorders>
      </w:tblPr>
      <w:tblGrid>
        <w:gridCol w:w="4675"/>
        <w:gridCol w:w="4675"/>
      </w:tblGrid>
      <w:tr>
        <w:trPr>
          <w:tblHeader/>
        </w:trPr>
        <w:tc>
          <w:tcPr>
            <w:tcW w:type="dxa" w:w="4675"/>
            <w:shd w:fill="1f2937" w:color="auto" w:val="clear"/>
            <w:tcMar>
              <w:top w:type="dxa" w:w="60"/>
              <w:left w:type="dxa" w:w="100"/>
              <w:bottom w:type="dxa" w:w="60"/>
              <w:right w:type="dxa" w:w="100"/>
            </w:tcMar>
          </w:tcPr>
          <w:p>
            <w:r>
              <w:rPr>
                <w:b/>
                <w:bCs/>
                <w:color w:val="FFFFFF"/>
                <w:sz w:val="19"/>
                <w:szCs w:val="19"/>
              </w:rPr>
              <w:t xml:space="preserve">Référence dans le dossier RNCP</w:t>
            </w:r>
          </w:p>
        </w:tc>
        <w:tc>
          <w:tcPr>
            <w:tcW w:type="dxa" w:w="4675"/>
            <w:shd w:fill="1f2937" w:color="auto" w:val="clear"/>
            <w:tcMar>
              <w:top w:type="dxa" w:w="60"/>
              <w:left w:type="dxa" w:w="100"/>
              <w:bottom w:type="dxa" w:w="60"/>
              <w:right w:type="dxa" w:w="100"/>
            </w:tcMar>
          </w:tcPr>
          <w:p>
            <w:r>
              <w:rPr>
                <w:b/>
                <w:bCs/>
                <w:color w:val="FFFFFF"/>
                <w:sz w:val="19"/>
                <w:szCs w:val="19"/>
              </w:rPr>
              <w:t xml:space="preserve">Emplacement dans ce document</w:t>
            </w:r>
          </w:p>
        </w:tc>
      </w:tr>
      <w:tr>
        <w:trPr>
          <w:tblHeader w:val="false"/>
        </w:trPr>
        <w:tc>
          <w:tcPr>
            <w:tcW w:type="dxa" w:w="4675"/>
            <w:tcMar>
              <w:top w:type="dxa" w:w="60"/>
              <w:left w:type="dxa" w:w="100"/>
              <w:bottom w:type="dxa" w:w="60"/>
              <w:right w:type="dxa" w:w="100"/>
            </w:tcMar>
          </w:tcPr>
          <w:p>
            <w:r>
              <w:rPr>
                <w:sz w:val="21"/>
                <w:szCs w:val="21"/>
              </w:rPr>
              <w:t xml:space="preserve">« Sections 1 à 9 » (cahier des charges)</w:t>
            </w:r>
          </w:p>
        </w:tc>
        <w:tc>
          <w:tcPr>
            <w:tcW w:type="dxa" w:w="4675"/>
            <w:tcMar>
              <w:top w:type="dxa" w:w="60"/>
              <w:left w:type="dxa" w:w="100"/>
              <w:bottom w:type="dxa" w:w="60"/>
              <w:right w:type="dxa" w:w="100"/>
            </w:tcMar>
          </w:tcPr>
          <w:p>
            <w:r>
              <w:rPr>
                <w:sz w:val="21"/>
                <w:szCs w:val="21"/>
              </w:rPr>
              <w:t xml:space="preserve">Sections 1 à 9 (ce document)</w:t>
            </w:r>
          </w:p>
        </w:tc>
      </w:tr>
      <w:tr>
        <w:trPr>
          <w:tblHeader w:val="false"/>
        </w:trPr>
        <w:tc>
          <w:tcPr>
            <w:tcW w:type="dxa" w:w="4675"/>
            <w:tcMar>
              <w:top w:type="dxa" w:w="60"/>
              <w:left w:type="dxa" w:w="100"/>
              <w:bottom w:type="dxa" w:w="60"/>
              <w:right w:type="dxa" w:w="100"/>
            </w:tcMar>
          </w:tcPr>
          <w:p>
            <w:r>
              <w:rPr>
                <w:sz w:val="21"/>
                <w:szCs w:val="21"/>
              </w:rPr>
              <w:t xml:space="preserve">« Annexe A1 » (qualité du code, charte de nommage)</w:t>
            </w:r>
          </w:p>
        </w:tc>
        <w:tc>
          <w:tcPr>
            <w:tcW w:type="dxa" w:w="4675"/>
            <w:tcMar>
              <w:top w:type="dxa" w:w="60"/>
              <w:left w:type="dxa" w:w="100"/>
              <w:bottom w:type="dxa" w:w="60"/>
              <w:right w:type="dxa" w:w="100"/>
            </w:tcMar>
          </w:tcPr>
          <w:p>
            <w:r>
              <w:rPr>
                <w:sz w:val="21"/>
                <w:szCs w:val="21"/>
              </w:rPr>
              <w:t xml:space="preserve">Annexe A1</w:t>
            </w:r>
          </w:p>
        </w:tc>
      </w:tr>
      <w:tr>
        <w:trPr>
          <w:tblHeader w:val="false"/>
        </w:trPr>
        <w:tc>
          <w:tcPr>
            <w:tcW w:type="dxa" w:w="4675"/>
            <w:tcMar>
              <w:top w:type="dxa" w:w="60"/>
              <w:left w:type="dxa" w:w="100"/>
              <w:bottom w:type="dxa" w:w="60"/>
              <w:right w:type="dxa" w:w="100"/>
            </w:tcMar>
          </w:tcPr>
          <w:p>
            <w:r>
              <w:rPr>
                <w:sz w:val="21"/>
                <w:szCs w:val="21"/>
              </w:rPr>
              <w:t xml:space="preserve">« Sections 10 et 12 » (schéma d'architecture)</w:t>
            </w:r>
          </w:p>
        </w:tc>
        <w:tc>
          <w:tcPr>
            <w:tcW w:type="dxa" w:w="4675"/>
            <w:tcMar>
              <w:top w:type="dxa" w:w="60"/>
              <w:left w:type="dxa" w:w="100"/>
              <w:bottom w:type="dxa" w:w="60"/>
              <w:right w:type="dxa" w:w="100"/>
            </w:tcMar>
          </w:tcPr>
          <w:p>
            <w:r>
              <w:rPr>
                <w:sz w:val="21"/>
                <w:szCs w:val="21"/>
              </w:rPr>
              <w:t xml:space="preserve">Sections 10, 12 + schéma d'infrastructure</w:t>
            </w:r>
          </w:p>
        </w:tc>
      </w:tr>
      <w:tr>
        <w:trPr>
          <w:tblHeader w:val="false"/>
        </w:trPr>
        <w:tc>
          <w:tcPr>
            <w:tcW w:type="dxa" w:w="4675"/>
            <w:tcMar>
              <w:top w:type="dxa" w:w="60"/>
              <w:left w:type="dxa" w:w="100"/>
              <w:bottom w:type="dxa" w:w="60"/>
              <w:right w:type="dxa" w:w="100"/>
            </w:tcMar>
          </w:tcPr>
          <w:p>
            <w:r>
              <w:rPr>
                <w:sz w:val="21"/>
                <w:szCs w:val="21"/>
              </w:rPr>
              <w:t xml:space="preserve">« Section 11 » (contraintes de sécurité, tableau des risques)</w:t>
            </w:r>
          </w:p>
        </w:tc>
        <w:tc>
          <w:tcPr>
            <w:tcW w:type="dxa" w:w="4675"/>
            <w:tcMar>
              <w:top w:type="dxa" w:w="60"/>
              <w:left w:type="dxa" w:w="100"/>
              <w:bottom w:type="dxa" w:w="60"/>
              <w:right w:type="dxa" w:w="100"/>
            </w:tcMar>
          </w:tcPr>
          <w:p>
            <w:r>
              <w:rPr>
                <w:sz w:val="21"/>
                <w:szCs w:val="21"/>
              </w:rPr>
              <w:t xml:space="preserve">Section 11 + tableau OWASP (Partie 4)</w:t>
            </w:r>
          </w:p>
        </w:tc>
      </w:tr>
      <w:tr>
        <w:trPr>
          <w:tblHeader w:val="false"/>
        </w:trPr>
        <w:tc>
          <w:tcPr>
            <w:tcW w:type="dxa" w:w="4675"/>
            <w:tcMar>
              <w:top w:type="dxa" w:w="60"/>
              <w:left w:type="dxa" w:w="100"/>
              <w:bottom w:type="dxa" w:w="60"/>
              <w:right w:type="dxa" w:w="100"/>
            </w:tcMar>
          </w:tcPr>
          <w:p>
            <w:r>
              <w:rPr>
                <w:sz w:val="21"/>
                <w:szCs w:val="21"/>
              </w:rPr>
              <w:t xml:space="preserve">« Section 13 » (modèle de données, script SQL)</w:t>
            </w:r>
          </w:p>
        </w:tc>
        <w:tc>
          <w:tcPr>
            <w:tcW w:type="dxa" w:w="4675"/>
            <w:tcMar>
              <w:top w:type="dxa" w:w="60"/>
              <w:left w:type="dxa" w:w="100"/>
              <w:bottom w:type="dxa" w:w="60"/>
              <w:right w:type="dxa" w:w="100"/>
            </w:tcMar>
          </w:tcPr>
          <w:p>
            <w:r>
              <w:rPr>
                <w:sz w:val="21"/>
                <w:szCs w:val="21"/>
              </w:rPr>
              <w:t xml:space="preserve">Section 13 + </w:t>
            </w:r>
            <w:r>
              <w:rPr>
                <w:rFonts w:ascii="Consolas" w:cs="Consolas" w:eastAsia="Consolas" w:hAnsi="Consolas"/>
                <w:color w:val="1f2937"/>
                <w:sz w:val="19"/>
                <w:szCs w:val="19"/>
              </w:rPr>
              <w:t xml:space="preserve">web/init.sql</w:t>
            </w:r>
          </w:p>
        </w:tc>
      </w:tr>
      <w:tr>
        <w:trPr>
          <w:tblHeader w:val="false"/>
        </w:trPr>
        <w:tc>
          <w:tcPr>
            <w:tcW w:type="dxa" w:w="4675"/>
            <w:tcMar>
              <w:top w:type="dxa" w:w="60"/>
              <w:left w:type="dxa" w:w="100"/>
              <w:bottom w:type="dxa" w:w="60"/>
              <w:right w:type="dxa" w:w="100"/>
            </w:tcMar>
          </w:tcPr>
          <w:p>
            <w:r>
              <w:rPr>
                <w:sz w:val="21"/>
                <w:szCs w:val="21"/>
              </w:rPr>
              <w:t xml:space="preserve">« Section 16 » (planning prévisionnel)</w:t>
            </w:r>
          </w:p>
        </w:tc>
        <w:tc>
          <w:tcPr>
            <w:tcW w:type="dxa" w:w="4675"/>
            <w:tcMar>
              <w:top w:type="dxa" w:w="60"/>
              <w:left w:type="dxa" w:w="100"/>
              <w:bottom w:type="dxa" w:w="60"/>
              <w:right w:type="dxa" w:w="100"/>
            </w:tcMar>
          </w:tcPr>
          <w:p>
            <w:r>
              <w:rPr>
                <w:sz w:val="21"/>
                <w:szCs w:val="21"/>
              </w:rPr>
              <w:t xml:space="preserve">Section « Planning prévisionnel »</w:t>
            </w:r>
          </w:p>
        </w:tc>
      </w:tr>
      <w:tr>
        <w:trPr>
          <w:tblHeader w:val="false"/>
        </w:trPr>
        <w:tc>
          <w:tcPr>
            <w:tcW w:type="dxa" w:w="4675"/>
            <w:tcMar>
              <w:top w:type="dxa" w:w="60"/>
              <w:left w:type="dxa" w:w="100"/>
              <w:bottom w:type="dxa" w:w="60"/>
              <w:right w:type="dxa" w:w="100"/>
            </w:tcMar>
          </w:tcPr>
          <w:p>
            <w:r>
              <w:rPr>
                <w:sz w:val="21"/>
                <w:szCs w:val="21"/>
              </w:rPr>
              <w:t xml:space="preserve">« Annexe A2 » (estimation de charge)</w:t>
            </w:r>
          </w:p>
        </w:tc>
        <w:tc>
          <w:tcPr>
            <w:tcW w:type="dxa" w:w="4675"/>
            <w:tcMar>
              <w:top w:type="dxa" w:w="60"/>
              <w:left w:type="dxa" w:w="100"/>
              <w:bottom w:type="dxa" w:w="60"/>
              <w:right w:type="dxa" w:w="100"/>
            </w:tcMar>
          </w:tcPr>
          <w:p>
            <w:r>
              <w:rPr>
                <w:sz w:val="21"/>
                <w:szCs w:val="21"/>
              </w:rPr>
              <w:t xml:space="preserve">Annexe A2</w:t>
            </w:r>
          </w:p>
        </w:tc>
      </w:tr>
      <w:tr>
        <w:trPr>
          <w:tblHeader w:val="false"/>
        </w:trPr>
        <w:tc>
          <w:tcPr>
            <w:tcW w:type="dxa" w:w="4675"/>
            <w:tcMar>
              <w:top w:type="dxa" w:w="60"/>
              <w:left w:type="dxa" w:w="100"/>
              <w:bottom w:type="dxa" w:w="60"/>
              <w:right w:type="dxa" w:w="100"/>
            </w:tcMar>
          </w:tcPr>
          <w:p>
            <w:r>
              <w:rPr>
                <w:sz w:val="21"/>
                <w:szCs w:val="21"/>
              </w:rPr>
              <w:t xml:space="preserve">« Partie 3 » (docker-compose.yml, Caddyfile, procédures)</w:t>
            </w:r>
          </w:p>
        </w:tc>
        <w:tc>
          <w:tcPr>
            <w:tcW w:type="dxa" w:w="4675"/>
            <w:tcMar>
              <w:top w:type="dxa" w:w="60"/>
              <w:left w:type="dxa" w:w="100"/>
              <w:bottom w:type="dxa" w:w="60"/>
              <w:right w:type="dxa" w:w="100"/>
            </w:tcMar>
          </w:tcPr>
          <w:p>
            <w:r>
              <w:rPr>
                <w:sz w:val="21"/>
                <w:szCs w:val="21"/>
              </w:rPr>
              <w:t xml:space="preserve">Partie 3 — DevOps</w:t>
            </w:r>
          </w:p>
        </w:tc>
      </w:tr>
      <w:tr>
        <w:trPr>
          <w:tblHeader w:val="false"/>
        </w:trPr>
        <w:tc>
          <w:tcPr>
            <w:tcW w:type="dxa" w:w="4675"/>
            <w:tcMar>
              <w:top w:type="dxa" w:w="60"/>
              <w:left w:type="dxa" w:w="100"/>
              <w:bottom w:type="dxa" w:w="60"/>
              <w:right w:type="dxa" w:w="100"/>
            </w:tcMar>
          </w:tcPr>
          <w:p>
            <w:r>
              <w:rPr>
                <w:sz w:val="21"/>
                <w:szCs w:val="21"/>
              </w:rPr>
              <w:t xml:space="preserve">« Partie 4 » (plan de tests, grille de recette)</w:t>
            </w:r>
          </w:p>
        </w:tc>
        <w:tc>
          <w:tcPr>
            <w:tcW w:type="dxa" w:w="4675"/>
            <w:tcMar>
              <w:top w:type="dxa" w:w="60"/>
              <w:left w:type="dxa" w:w="100"/>
              <w:bottom w:type="dxa" w:w="60"/>
              <w:right w:type="dxa" w:w="100"/>
            </w:tcMar>
          </w:tcPr>
          <w:p>
            <w:r>
              <w:rPr>
                <w:sz w:val="21"/>
                <w:szCs w:val="21"/>
              </w:rPr>
              <w:t xml:space="preserve">Partie 4 — Plan de tests</w:t>
            </w:r>
          </w:p>
        </w:tc>
      </w:tr>
      <w:tr>
        <w:trPr>
          <w:tblHeader w:val="false"/>
        </w:trPr>
        <w:tc>
          <w:tcPr>
            <w:tcW w:type="dxa" w:w="4675"/>
            <w:tcMar>
              <w:top w:type="dxa" w:w="60"/>
              <w:left w:type="dxa" w:w="100"/>
              <w:bottom w:type="dxa" w:w="60"/>
              <w:right w:type="dxa" w:w="100"/>
            </w:tcMar>
          </w:tcPr>
          <w:p>
            <w:r>
              <w:rPr>
                <w:sz w:val="21"/>
                <w:szCs w:val="21"/>
              </w:rPr>
              <w:t xml:space="preserve">« Partie 5 » / RD-1 à RD-5 (rétro-documentation)</w:t>
            </w:r>
          </w:p>
        </w:tc>
        <w:tc>
          <w:tcPr>
            <w:tcW w:type="dxa" w:w="4675"/>
            <w:tcMar>
              <w:top w:type="dxa" w:w="60"/>
              <w:left w:type="dxa" w:w="100"/>
              <w:bottom w:type="dxa" w:w="60"/>
              <w:right w:type="dxa" w:w="100"/>
            </w:tcMar>
          </w:tcPr>
          <w:p>
            <w:r>
              <w:rPr>
                <w:sz w:val="21"/>
                <w:szCs w:val="21"/>
              </w:rPr>
              <w:t xml:space="preserve">Partie 5 — Rétro-documentation</w:t>
            </w:r>
          </w:p>
        </w:tc>
      </w:tr>
      <w:tr>
        <w:trPr>
          <w:tblHeader w:val="false"/>
        </w:trPr>
        <w:tc>
          <w:tcPr>
            <w:tcW w:type="dxa" w:w="4675"/>
            <w:tcMar>
              <w:top w:type="dxa" w:w="60"/>
              <w:left w:type="dxa" w:w="100"/>
              <w:bottom w:type="dxa" w:w="60"/>
              <w:right w:type="dxa" w:w="100"/>
            </w:tcMar>
          </w:tcPr>
          <w:p>
            <w:r>
              <w:rPr>
                <w:sz w:val="21"/>
                <w:szCs w:val="21"/>
              </w:rPr>
              <w:t xml:space="preserve">« Partie 6 » (journal de bord)</w:t>
            </w:r>
          </w:p>
        </w:tc>
        <w:tc>
          <w:tcPr>
            <w:tcW w:type="dxa" w:w="4675"/>
            <w:tcMar>
              <w:top w:type="dxa" w:w="60"/>
              <w:left w:type="dxa" w:w="100"/>
              <w:bottom w:type="dxa" w:w="60"/>
              <w:right w:type="dxa" w:w="100"/>
            </w:tcMar>
          </w:tcPr>
          <w:p>
            <w:r>
              <w:rPr>
                <w:sz w:val="21"/>
                <w:szCs w:val="21"/>
              </w:rPr>
              <w:t xml:space="preserve">Journal de bord</w:t>
            </w:r>
          </w:p>
        </w:tc>
      </w:tr>
      <w:tr>
        <w:trPr>
          <w:tblHeader w:val="false"/>
        </w:trPr>
        <w:tc>
          <w:tcPr>
            <w:tcW w:type="dxa" w:w="4675"/>
            <w:tcMar>
              <w:top w:type="dxa" w:w="60"/>
              <w:left w:type="dxa" w:w="100"/>
              <w:bottom w:type="dxa" w:w="60"/>
              <w:right w:type="dxa" w:w="100"/>
            </w:tcMar>
          </w:tcPr>
          <w:p>
            <w:r>
              <w:rPr>
                <w:sz w:val="21"/>
                <w:szCs w:val="21"/>
              </w:rPr>
              <w:t xml:space="preserve">« Captures d'écran de l'interface »</w:t>
            </w:r>
          </w:p>
        </w:tc>
        <w:tc>
          <w:tcPr>
            <w:tcW w:type="dxa" w:w="4675"/>
            <w:tcMar>
              <w:top w:type="dxa" w:w="60"/>
              <w:left w:type="dxa" w:w="100"/>
              <w:bottom w:type="dxa" w:w="60"/>
              <w:right w:type="dxa" w:w="100"/>
            </w:tcMar>
          </w:tcPr>
          <w:p>
            <w:r>
              <w:rPr>
                <w:sz w:val="21"/>
                <w:szCs w:val="21"/>
              </w:rPr>
              <w:t xml:space="preserve">Section « Captures d'écran »</w:t>
            </w:r>
          </w:p>
        </w:tc>
      </w:tr>
      <w:tr>
        <w:trPr>
          <w:tblHeader w:val="false"/>
        </w:trPr>
        <w:tc>
          <w:tcPr>
            <w:tcW w:type="dxa" w:w="4675"/>
            <w:tcMar>
              <w:top w:type="dxa" w:w="60"/>
              <w:left w:type="dxa" w:w="100"/>
              <w:bottom w:type="dxa" w:w="60"/>
              <w:right w:type="dxa" w:w="100"/>
            </w:tcMar>
          </w:tcPr>
          <w:p>
            <w:r>
              <w:rPr>
                <w:sz w:val="21"/>
                <w:szCs w:val="21"/>
              </w:rPr>
              <w:t xml:space="preserve">« Code HTML avec attributs ARIA / structure sémantique »</w:t>
            </w:r>
          </w:p>
        </w:tc>
        <w:tc>
          <w:tcPr>
            <w:tcW w:type="dxa" w:w="4675"/>
            <w:tcMar>
              <w:top w:type="dxa" w:w="60"/>
              <w:left w:type="dxa" w:w="100"/>
              <w:bottom w:type="dxa" w:w="60"/>
              <w:right w:type="dxa" w:w="100"/>
            </w:tcMar>
          </w:tcPr>
          <w:p>
            <w:r>
              <w:rPr>
                <w:rFonts w:ascii="Consolas" w:cs="Consolas" w:eastAsia="Consolas" w:hAnsi="Consolas"/>
                <w:color w:val="1f2937"/>
                <w:sz w:val="19"/>
                <w:szCs w:val="19"/>
              </w:rPr>
              <w:t xml:space="preserve">web/templates/view/index.html</w:t>
            </w:r>
            <w:r>
              <w:rPr>
                <w:sz w:val="21"/>
                <w:szCs w:val="21"/>
              </w:rPr>
              <w:t xml:space="preserve"> (voir dépôt </w:t>
            </w:r>
            <w:r>
              <w:rPr>
                <w:rFonts w:ascii="Consolas" w:cs="Consolas" w:eastAsia="Consolas" w:hAnsi="Consolas"/>
                <w:color w:val="1f2937"/>
                <w:sz w:val="19"/>
                <w:szCs w:val="19"/>
              </w:rPr>
              <w:t xml:space="preserve">gesthub-v2</w:t>
            </w:r>
            <w:r>
              <w:rPr>
                <w:sz w:val="21"/>
                <w:szCs w:val="21"/>
              </w:rPr>
              <w:t xml:space="preserve"> joint)</w:t>
            </w:r>
          </w:p>
        </w:tc>
      </w:tr>
    </w:tbl>
    <w:p>
      <w:pPr>
        <w:spacing w:after="160"/>
      </w:pPr>
    </w:p>
    <w:p>
      <w:pPr>
        <w:pStyle w:val="Heading2"/>
        <w:spacing w:after="140" w:before="300"/>
      </w:pPr>
      <w:r>
        <w:t xml:space="preserve">Points de cohérence à corriger dans le dossier RNCP narratif</w:t>
      </w:r>
    </w:p>
    <w:p>
      <w:pPr>
        <w:spacing w:after="120"/>
      </w:pPr>
      <w:r>
        <w:rPr>
          <w:b/>
          <w:bCs/>
          <w:sz w:val="21"/>
          <w:szCs w:val="21"/>
        </w:rPr>
        <w:t xml:space="preserve">1. Numérotation de la rétro-documentation (RD-3).</w:t>
      </w:r>
      <w:r>
        <w:rPr>
          <w:sz w:val="21"/>
          <w:szCs w:val="21"/>
        </w:rPr>
        <w:t xml:space="preserve"> Le dossier narratif utilise « RD-3 » pour deux éléments différents : le flux OIDC annoté (Bloc 3 — C3) et le dictionnaire de données (Bloc 2 — C4). Ce document technique tranche avec la numérotation suivante, à reprendre dans le dossier narratif : </w:t>
      </w:r>
      <w:r>
        <w:rPr>
          <w:b/>
          <w:bCs/>
          <w:sz w:val="21"/>
          <w:szCs w:val="21"/>
        </w:rPr>
        <w:t xml:space="preserve">RD-1</w:t>
      </w:r>
      <w:r>
        <w:rPr>
          <w:sz w:val="21"/>
          <w:szCs w:val="21"/>
        </w:rPr>
        <w:t xml:space="preserve"> = couches, </w:t>
      </w:r>
      <w:r>
        <w:rPr>
          <w:b/>
          <w:bCs/>
          <w:sz w:val="21"/>
          <w:szCs w:val="21"/>
        </w:rPr>
        <w:t xml:space="preserve">RD-2</w:t>
      </w:r>
      <w:r>
        <w:rPr>
          <w:sz w:val="21"/>
          <w:szCs w:val="21"/>
        </w:rPr>
        <w:t xml:space="preserve"> = flux de données, </w:t>
      </w:r>
      <w:r>
        <w:rPr>
          <w:b/>
          <w:bCs/>
          <w:sz w:val="21"/>
          <w:szCs w:val="21"/>
        </w:rPr>
        <w:t xml:space="preserve">RD-3</w:t>
      </w:r>
      <w:r>
        <w:rPr>
          <w:sz w:val="21"/>
          <w:szCs w:val="21"/>
        </w:rPr>
        <w:t xml:space="preserve"> = flux OIDC annoté, </w:t>
      </w:r>
      <w:r>
        <w:rPr>
          <w:b/>
          <w:bCs/>
          <w:sz w:val="21"/>
          <w:szCs w:val="21"/>
        </w:rPr>
        <w:t xml:space="preserve">RD-4</w:t>
      </w:r>
      <w:r>
        <w:rPr>
          <w:sz w:val="21"/>
          <w:szCs w:val="21"/>
        </w:rPr>
        <w:t xml:space="preserve"> = dictionnaire de données, </w:t>
      </w:r>
      <w:r>
        <w:rPr>
          <w:b/>
          <w:bCs/>
          <w:sz w:val="21"/>
          <w:szCs w:val="21"/>
        </w:rPr>
        <w:t xml:space="preserve">RD-5</w:t>
      </w:r>
      <w:r>
        <w:rPr>
          <w:sz w:val="21"/>
          <w:szCs w:val="21"/>
        </w:rPr>
        <w:t xml:space="preserve"> = table de correspondance JWT/BDD. → Corriger la ligne de preuve du Bloc 2 — C4 : remplacer « Dictionnaire des données RD-3 » par « Dictionnaire des données RD-4 ».</w:t>
      </w:r>
    </w:p>
    <w:p>
      <w:pPr>
        <w:spacing w:after="120"/>
      </w:pPr>
      <w:r>
        <w:rPr>
          <w:b/>
          <w:bCs/>
          <w:sz w:val="21"/>
          <w:szCs w:val="21"/>
        </w:rPr>
        <w:t xml:space="preserve">2. Nombre total de cas de test.</w:t>
      </w:r>
      <w:r>
        <w:rPr>
          <w:sz w:val="21"/>
          <w:szCs w:val="21"/>
        </w:rPr>
        <w:t xml:space="preserve"> Le dossier narratif indique tantôt « 28 cas de test » (Bloc 1 — C5, Bloc 3 — C7), tantôt « 44 cas de test » (Bloc 3 — C5, approfondissement) pour les mêmes catégories UT/IT/TF/TS/TD. Ce document technique fixe la répartition réelle et harmonisée à </w:t>
      </w:r>
      <w:r>
        <w:rPr>
          <w:b/>
          <w:bCs/>
          <w:sz w:val="21"/>
          <w:szCs w:val="21"/>
        </w:rPr>
        <w:t xml:space="preserve">44 cas documentés</w:t>
      </w:r>
      <w:r>
        <w:rPr>
          <w:sz w:val="21"/>
          <w:szCs w:val="21"/>
        </w:rPr>
        <w:t xml:space="preserve"> : 17 UT + 11 IT + 4 TF + 6 TS + 6 TD, dont </w:t>
      </w:r>
      <w:r>
        <w:rPr>
          <w:b/>
          <w:bCs/>
          <w:sz w:val="21"/>
          <w:szCs w:val="21"/>
        </w:rPr>
        <w:t xml:space="preserve">34 automatisés avec pytest et exécutés avec succès</w:t>
      </w:r>
      <w:r>
        <w:rPr>
          <w:sz w:val="21"/>
          <w:szCs w:val="21"/>
        </w:rPr>
        <w:t xml:space="preserve"> (17+11+6) et 10 procédures manuelles documentées (4 TF + 6 TD). → Remplacer « 28 cas de test » par « 44 cas de test » partout dans le dossier narratif, et « UT-01 à UT-12 » par « UT-01 à UT-17 » (la suite réelle en compte 17, ce qui dépasse l'objectif initial).</w:t>
      </w:r>
    </w:p>
    <w:p>
      <w:pPr>
        <w:spacing w:after="120"/>
      </w:pPr>
      <w:r>
        <w:rPr>
          <w:b/>
          <w:bCs/>
          <w:sz w:val="21"/>
          <w:szCs w:val="21"/>
        </w:rPr>
        <w:t xml:space="preserve">3. Éléments propres au stage FabLab BEN.</w:t>
      </w:r>
      <w:r>
        <w:rPr>
          <w:sz w:val="21"/>
          <w:szCs w:val="21"/>
        </w:rPr>
        <w:t xml:space="preserve"> Les placeholders </w:t>
      </w:r>
      <w:r>
        <w:rPr>
          <w:rFonts w:ascii="Consolas" w:cs="Consolas" w:eastAsia="Consolas" w:hAnsi="Consolas"/>
          <w:color w:val="1f2937"/>
          <w:sz w:val="19"/>
          <w:szCs w:val="19"/>
        </w:rPr>
        <w:t xml:space="preserve">[DECRIRE LE PROCESSUS...]</w:t>
      </w:r>
      <w:r>
        <w:rPr>
          <w:sz w:val="21"/>
          <w:szCs w:val="21"/>
        </w:rPr>
        <w:t xml:space="preserve">, </w:t>
      </w:r>
      <w:r>
        <w:rPr>
          <w:rFonts w:ascii="Consolas" w:cs="Consolas" w:eastAsia="Consolas" w:hAnsi="Consolas"/>
          <w:color w:val="1f2937"/>
          <w:sz w:val="19"/>
          <w:szCs w:val="19"/>
        </w:rPr>
        <w:t xml:space="preserve">[CAPTURE WORKFLOW ENTREPRISE]</w:t>
      </w:r>
      <w:r>
        <w:rPr>
          <w:sz w:val="21"/>
          <w:szCs w:val="21"/>
        </w:rPr>
        <w:t xml:space="preserve">, </w:t>
      </w:r>
      <w:r>
        <w:rPr>
          <w:rFonts w:ascii="Consolas" w:cs="Consolas" w:eastAsia="Consolas" w:hAnsi="Consolas"/>
          <w:color w:val="1f2937"/>
          <w:sz w:val="19"/>
          <w:szCs w:val="19"/>
        </w:rPr>
        <w:t xml:space="preserve">[METHODE : story points...]</w:t>
      </w:r>
      <w:r>
        <w:rPr>
          <w:sz w:val="21"/>
          <w:szCs w:val="21"/>
        </w:rPr>
        <w:t xml:space="preserve">, </w:t>
      </w:r>
      <w:r>
        <w:rPr>
          <w:rFonts w:ascii="Consolas" w:cs="Consolas" w:eastAsia="Consolas" w:hAnsi="Consolas"/>
          <w:color w:val="1f2937"/>
          <w:sz w:val="19"/>
          <w:szCs w:val="19"/>
        </w:rPr>
        <w:t xml:space="preserve">[RITUEL AGILE...]</w:t>
      </w:r>
      <w:r>
        <w:rPr>
          <w:sz w:val="21"/>
          <w:szCs w:val="21"/>
        </w:rPr>
        <w:t xml:space="preserve">, </w:t>
      </w:r>
      <w:r>
        <w:rPr>
          <w:rFonts w:ascii="Consolas" w:cs="Consolas" w:eastAsia="Consolas" w:hAnsi="Consolas"/>
          <w:color w:val="1f2937"/>
          <w:sz w:val="19"/>
          <w:szCs w:val="19"/>
        </w:rPr>
        <w:t xml:space="preserve">[OUTIL DE SUIVI...]</w:t>
      </w:r>
      <w:r>
        <w:rPr>
          <w:sz w:val="21"/>
          <w:szCs w:val="21"/>
        </w:rPr>
        <w:t xml:space="preserve">, </w:t>
      </w:r>
      <w:r>
        <w:rPr>
          <w:rFonts w:ascii="Consolas" w:cs="Consolas" w:eastAsia="Consolas" w:hAnsi="Consolas"/>
          <w:color w:val="1f2937"/>
          <w:sz w:val="19"/>
          <w:szCs w:val="19"/>
        </w:rPr>
        <w:t xml:space="preserve">[COMPTE-RENDU REVUE SPRINT stage]</w:t>
      </w:r>
      <w:r>
        <w:rPr>
          <w:sz w:val="21"/>
          <w:szCs w:val="21"/>
        </w:rPr>
        <w:t xml:space="preserve"> (Bloc 2 — C1, C7, C8, C10, C12 ; Bloc 3 — C8) concernent le stage chez FabLab BEN et non GestHub : ils sont </w:t>
      </w:r>
      <w:r>
        <w:rPr>
          <w:b/>
          <w:bCs/>
          <w:sz w:val="21"/>
          <w:szCs w:val="21"/>
        </w:rPr>
        <w:t xml:space="preserve">hors du périmètre de ce document technique</w:t>
      </w:r>
      <w:r>
        <w:rPr>
          <w:sz w:val="21"/>
          <w:szCs w:val="21"/>
        </w:rPr>
        <w:t xml:space="preserve">, qui ne couvre que le projet GestHub. Nino doit les compléter directement dans la Partie 2 du dossier narratif avec les éléments réels de son stage (captures, comptes-rendus, méthode d'estimation utilisée sur place).</w:t>
      </w:r>
    </w:p>
    <w:p>
      <w:pPr>
        <w:spacing w:after="120"/>
      </w:pPr>
      <w:r>
        <w:rPr>
          <w:b/>
          <w:bCs/>
          <w:sz w:val="21"/>
          <w:szCs w:val="21"/>
        </w:rPr>
        <w:t xml:space="preserve">4. Écart assumé entre le code au 16/12/2025 et ce document (août 2026).</w:t>
      </w:r>
      <w:r>
        <w:rPr>
          <w:sz w:val="21"/>
          <w:szCs w:val="21"/>
        </w:rPr>
        <w:t xml:space="preserve"> Le code source de GestHub tel qu'il existait au dernier commit Git (16 décembre 2025) ne comportait pas encore l'architecture en couches, les modules Annonces/Fichiers/Planning, la table </w:t>
      </w:r>
      <w:r>
        <w:rPr>
          <w:rFonts w:ascii="Consolas" w:cs="Consolas" w:eastAsia="Consolas" w:hAnsi="Consolas"/>
          <w:color w:val="1f2937"/>
          <w:sz w:val="19"/>
          <w:szCs w:val="19"/>
        </w:rPr>
        <w:t xml:space="preserve">audit_log</w:t>
      </w:r>
      <w:r>
        <w:rPr>
          <w:sz w:val="21"/>
          <w:szCs w:val="21"/>
        </w:rPr>
        <w:t xml:space="preserve">, ni la suite de tests. Ces éléments ont été développés et testés entre janvier et août 2026 en préparation de ce dossier de certification (voir Journal de bord, « Travaux réalisés pour ce dossier RNCP »). Le dépôt </w:t>
      </w:r>
      <w:r>
        <w:rPr>
          <w:rFonts w:ascii="Consolas" w:cs="Consolas" w:eastAsia="Consolas" w:hAnsi="Consolas"/>
          <w:color w:val="1f2937"/>
          <w:sz w:val="19"/>
          <w:szCs w:val="19"/>
        </w:rPr>
        <w:t xml:space="preserve">gesthub-v2</w:t>
      </w:r>
      <w:r>
        <w:rPr>
          <w:sz w:val="21"/>
          <w:szCs w:val="21"/>
        </w:rPr>
        <w:t xml:space="preserve"> livré en annexe contient cette version complète et testée ; il est recommandé de le pousser sur le dépôt Git réel (</w:t>
      </w:r>
      <w:r>
        <w:rPr>
          <w:rFonts w:ascii="Consolas" w:cs="Consolas" w:eastAsia="Consolas" w:hAnsi="Consolas"/>
          <w:color w:val="1f2937"/>
          <w:sz w:val="19"/>
          <w:szCs w:val="19"/>
        </w:rPr>
        <w:t xml:space="preserve">git.ninolbt.com/Nono/gesthub</w:t>
      </w:r>
      <w:r>
        <w:rPr>
          <w:sz w:val="21"/>
          <w:szCs w:val="21"/>
        </w:rPr>
        <w:t xml:space="preserve">) avant la soutenance, pour que le lien cité en synthèse de la Partie 1 pointe vers le code réellement décrit dans ce dossier.</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CA3AF"/>
        <w:sz w:val="16"/>
        <w:szCs w:val="16"/>
      </w:rPr>
      <w:fldChar w:fldCharType="begin"/>
      <w:instrText xml:space="preserve">PAGE</w:instrText>
      <w:fldChar w:fldCharType="separate"/>
      <w:fldChar w:fldCharType="end"/>
    </w:r>
    <w:r>
      <w:rPr>
        <w:color w:val="9CA3AF"/>
        <w:sz w:val="16"/>
        <w:szCs w:val="16"/>
      </w:rPr>
      <w:t xml:space="preserve"> / </w:t>
    </w:r>
    <w:r>
      <w:rPr>
        <w:color w:val="9CA3A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9CA3AF"/>
        <w:sz w:val="16"/>
        <w:szCs w:val="16"/>
      </w:rPr>
      <w:t xml:space="preserve">GestHub — Dossier technique v2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pPr>
    <w:rPr>
      <w:b/>
      <w:bCs/>
      <w:color w:val="1f2937"/>
      <w:sz w:val="30"/>
      <w:szCs w:val="30"/>
    </w:rPr>
  </w:style>
  <w:style w:type="paragraph" w:styleId="Heading2">
    <w:name w:val="Heading 2"/>
    <w:basedOn w:val="Normal"/>
    <w:next w:val="Normal"/>
    <w:qFormat/>
    <w:pPr>
      <w:spacing w:after="140" w:before="280"/>
    </w:pPr>
    <w:rPr>
      <w:b/>
      <w:bCs/>
      <w:color w:val="2563eb"/>
      <w:sz w:val="25"/>
      <w:szCs w:val="25"/>
    </w:rPr>
  </w:style>
  <w:style w:type="paragraph" w:styleId="Heading3">
    <w:name w:val="Heading 3"/>
    <w:basedOn w:val="Normal"/>
    <w:next w:val="Normal"/>
    <w:qFormat/>
    <w:pPr>
      <w:spacing w:after="100" w:before="220"/>
    </w:pPr>
    <w:rPr>
      <w:b/>
      <w:bCs/>
      <w:color w:val="16a34a"/>
      <w:sz w:val="22"/>
      <w:szCs w:val="22"/>
    </w:rPr>
  </w:style>
  <w:style w:type="paragraph" w:styleId="Heading4">
    <w:name w:val="Heading 4"/>
    <w:basedOn w:val="Normal"/>
    <w:next w:val="Normal"/>
    <w:qFormat/>
    <w:pPr>
      <w:spacing w:after="80" w:before="180"/>
    </w:pPr>
    <w:rPr>
      <w:b/>
      <w:bCs/>
      <w:i/>
      <w:iCs/>
      <w:color w:val="374151"/>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2d19177a1de9ed204b2a9ab03b5c4a61ce93ab9.png"/><Relationship Id="rId10" Type="http://schemas.openxmlformats.org/officeDocument/2006/relationships/image" Target="media/b5c1bdf367efb529d0e8c31f87aeca295e19f994.png"/><Relationship Id="rId11" Type="http://schemas.openxmlformats.org/officeDocument/2006/relationships/image" Target="media/072cdaa1aa350b6e130b94e1b02b6b0ed7c66715.png"/><Relationship Id="rId12" Type="http://schemas.openxmlformats.org/officeDocument/2006/relationships/image" Target="media/e403c1ec21c0fabb026392ade37626094b0fb4c9.png"/><Relationship Id="rId13" Type="http://schemas.openxmlformats.org/officeDocument/2006/relationships/image" Target="media/8e7271c886c2cf79ae36c8db8380a62167d6855b.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2026-08-20T11:24:47.287Z</dcterms:created>
  <dcterms:modified xsi:type="dcterms:W3CDTF">2026-08-20T11:24:47.287Z</dcterms:modified>
</cp:coreProperties>
</file>

<file path=docProps/custom.xml><?xml version="1.0" encoding="utf-8"?>
<Properties xmlns="http://schemas.openxmlformats.org/officeDocument/2006/custom-properties" xmlns:vt="http://schemas.openxmlformats.org/officeDocument/2006/docPropsVTypes"/>
</file>